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pPr w:leftFromText="180" w:rightFromText="180" w:vertAnchor="text" w:tblpY="-19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77"/>
        <w:gridCol w:w="1902"/>
        <w:gridCol w:w="3328"/>
      </w:tblGrid>
      <w:tr w:rsidR="00B02C76" w:rsidRPr="00FA4EAF" w:rsidTr="007F09CE">
        <w:trPr>
          <w:trHeight w:val="295"/>
        </w:trPr>
        <w:tc>
          <w:tcPr>
            <w:tcW w:w="4979" w:type="dxa"/>
            <w:gridSpan w:val="2"/>
          </w:tcPr>
          <w:p w:rsidR="00B02C76" w:rsidRPr="00FA4EAF" w:rsidRDefault="00B02C76" w:rsidP="00B02C76">
            <w:pPr>
              <w:rPr>
                <w:rFonts w:ascii="Arial" w:hAnsi="Arial"/>
                <w:b/>
                <w:bCs/>
                <w:noProof w:val="0"/>
                <w:sz w:val="26"/>
                <w:szCs w:val="26"/>
                <w:rtl/>
              </w:rPr>
            </w:pPr>
          </w:p>
        </w:tc>
        <w:tc>
          <w:tcPr>
            <w:tcW w:w="3328" w:type="dxa"/>
          </w:tcPr>
          <w:p w:rsidR="00B02C76" w:rsidRPr="00FA4EAF" w:rsidRDefault="008924AB" w:rsidP="00A03128">
            <w:pPr>
              <w:jc w:val="right"/>
              <w:rPr>
                <w:rFonts w:ascii="Arial" w:hAnsi="Arial"/>
                <w:b/>
                <w:bCs/>
                <w:noProof w:val="0"/>
                <w:sz w:val="26"/>
                <w:szCs w:val="26"/>
                <w:rtl/>
              </w:rPr>
            </w:pPr>
            <w:r>
              <w:rPr>
                <w:rFonts w:hint="cs"/>
                <w:sz w:val="26"/>
                <w:szCs w:val="26"/>
                <w:rtl/>
              </w:rPr>
              <w:t xml:space="preserve"> </w:t>
            </w:r>
          </w:p>
        </w:tc>
      </w:tr>
      <w:tr w:rsidR="00B02C76" w:rsidRPr="00FA4EAF" w:rsidTr="007F09CE">
        <w:tc>
          <w:tcPr>
            <w:tcW w:w="8307" w:type="dxa"/>
            <w:gridSpan w:val="3"/>
          </w:tcPr>
          <w:p w:rsidR="00B02C76" w:rsidRPr="0016772A" w:rsidRDefault="00B02C76" w:rsidP="00B02C76">
            <w:pPr>
              <w:jc w:val="both"/>
              <w:rPr>
                <w:rFonts w:ascii="Arial" w:hAnsi="Arial"/>
                <w:b/>
                <w:bCs/>
                <w:sz w:val="30"/>
                <w:szCs w:val="30"/>
                <w:rtl/>
              </w:rPr>
            </w:pPr>
            <w:r w:rsidRPr="0016772A">
              <w:rPr>
                <w:rFonts w:ascii="Arial" w:hAnsi="Arial" w:hint="cs"/>
                <w:b/>
                <w:bCs/>
                <w:sz w:val="30"/>
                <w:szCs w:val="30"/>
                <w:rtl/>
              </w:rPr>
              <w:t>ל</w:t>
            </w:r>
            <w:r w:rsidRPr="0016772A">
              <w:rPr>
                <w:rFonts w:ascii="Arial" w:hAnsi="Arial"/>
                <w:b/>
                <w:bCs/>
                <w:sz w:val="30"/>
                <w:szCs w:val="30"/>
                <w:rtl/>
              </w:rPr>
              <w:t>פני</w:t>
            </w:r>
            <w:r w:rsidRPr="0016772A">
              <w:rPr>
                <w:rFonts w:ascii="Arial" w:hAnsi="Arial" w:hint="cs"/>
                <w:b/>
                <w:bCs/>
                <w:sz w:val="30"/>
                <w:szCs w:val="30"/>
                <w:rtl/>
              </w:rPr>
              <w:t xml:space="preserve"> כבוד ה</w:t>
            </w:r>
            <w:sdt>
              <w:sdtPr>
                <w:rPr>
                  <w:sz w:val="30"/>
                  <w:szCs w:val="30"/>
                  <w:rtl/>
                </w:rPr>
                <w:alias w:val="1574"/>
                <w:tag w:val="1574"/>
                <w:id w:val="414602899"/>
                <w:text w:multiLine="1"/>
              </w:sdtPr>
              <w:sdtEndPr/>
              <w:sdtContent>
                <w:r w:rsidRPr="0016772A">
                  <w:rPr>
                    <w:rFonts w:ascii="Arial" w:hAnsi="Arial"/>
                    <w:b/>
                    <w:bCs/>
                    <w:sz w:val="30"/>
                    <w:szCs w:val="30"/>
                    <w:rtl/>
                  </w:rPr>
                  <w:t>שופט</w:t>
                </w:r>
              </w:sdtContent>
            </w:sdt>
            <w:r w:rsidRPr="0016772A">
              <w:rPr>
                <w:rFonts w:ascii="Arial" w:hAnsi="Arial" w:hint="cs"/>
                <w:b/>
                <w:bCs/>
                <w:sz w:val="30"/>
                <w:szCs w:val="30"/>
                <w:rtl/>
              </w:rPr>
              <w:t xml:space="preserve"> </w:t>
            </w:r>
            <w:sdt>
              <w:sdtPr>
                <w:rPr>
                  <w:sz w:val="30"/>
                  <w:szCs w:val="30"/>
                  <w:rtl/>
                </w:rPr>
                <w:alias w:val="1573"/>
                <w:tag w:val="1573"/>
                <w:id w:val="-1751030614"/>
                <w:text w:multiLine="1"/>
              </w:sdtPr>
              <w:sdtEndPr/>
              <w:sdtContent>
                <w:r w:rsidRPr="0016772A">
                  <w:rPr>
                    <w:rFonts w:ascii="Arial" w:hAnsi="Arial"/>
                    <w:b/>
                    <w:bCs/>
                    <w:sz w:val="30"/>
                    <w:szCs w:val="30"/>
                    <w:rtl/>
                  </w:rPr>
                  <w:t>אביים ברקאי</w:t>
                </w:r>
              </w:sdtContent>
            </w:sdt>
          </w:p>
          <w:p w:rsidR="008924AB" w:rsidRPr="00314311" w:rsidRDefault="008924AB" w:rsidP="00B02C76">
            <w:pPr>
              <w:jc w:val="both"/>
              <w:rPr>
                <w:rFonts w:ascii="Arial" w:hAnsi="Arial"/>
                <w:b/>
                <w:bCs/>
                <w:sz w:val="26"/>
                <w:szCs w:val="26"/>
              </w:rPr>
            </w:pPr>
          </w:p>
        </w:tc>
      </w:tr>
      <w:tr w:rsidR="00B02C76" w:rsidRPr="00FA4EAF" w:rsidTr="007F09CE">
        <w:tc>
          <w:tcPr>
            <w:tcW w:w="3077" w:type="dxa"/>
          </w:tcPr>
          <w:p w:rsidR="00B02C76" w:rsidRPr="00FA4EAF" w:rsidRDefault="00B02C76" w:rsidP="0016772A">
            <w:pPr>
              <w:rPr>
                <w:rFonts w:ascii="Arial" w:hAnsi="Arial"/>
                <w:b/>
                <w:bCs/>
                <w:noProof w:val="0"/>
                <w:sz w:val="26"/>
                <w:szCs w:val="26"/>
                <w:rtl/>
              </w:rPr>
            </w:pPr>
            <w:r w:rsidRPr="002D2705">
              <w:rPr>
                <w:rFonts w:hint="cs"/>
                <w:b/>
                <w:bCs/>
                <w:sz w:val="26"/>
                <w:szCs w:val="26"/>
                <w:rtl/>
              </w:rPr>
              <w:t>ה</w:t>
            </w:r>
            <w:sdt>
              <w:sdtPr>
                <w:rPr>
                  <w:sz w:val="26"/>
                  <w:szCs w:val="26"/>
                  <w:rtl/>
                </w:rPr>
                <w:alias w:val="1180"/>
                <w:tag w:val="1180"/>
                <w:id w:val="637458750"/>
                <w:text w:multiLine="1"/>
              </w:sdtPr>
              <w:sdtEndPr/>
              <w:sdtContent>
                <w:r w:rsidR="0016772A">
                  <w:rPr>
                    <w:rFonts w:ascii="Arial" w:hAnsi="Arial"/>
                    <w:b/>
                    <w:bCs/>
                    <w:noProof w:val="0"/>
                    <w:sz w:val="26"/>
                    <w:szCs w:val="26"/>
                    <w:rtl/>
                  </w:rPr>
                  <w:t>תוב</w:t>
                </w:r>
                <w:r w:rsidR="0016772A">
                  <w:rPr>
                    <w:rFonts w:ascii="Arial" w:hAnsi="Arial" w:hint="cs"/>
                    <w:b/>
                    <w:bCs/>
                    <w:noProof w:val="0"/>
                    <w:sz w:val="26"/>
                    <w:szCs w:val="26"/>
                    <w:rtl/>
                  </w:rPr>
                  <w:t>עת</w:t>
                </w:r>
              </w:sdtContent>
            </w:sdt>
            <w:r>
              <w:rPr>
                <w:rFonts w:ascii="Arial" w:hAnsi="Arial" w:hint="cs"/>
                <w:b/>
                <w:bCs/>
                <w:noProof w:val="0"/>
                <w:sz w:val="26"/>
                <w:szCs w:val="26"/>
                <w:rtl/>
              </w:rPr>
              <w:t>:</w:t>
            </w:r>
          </w:p>
        </w:tc>
        <w:tc>
          <w:tcPr>
            <w:tcW w:w="5230" w:type="dxa"/>
            <w:gridSpan w:val="2"/>
          </w:tcPr>
          <w:p w:rsidR="00B02C76" w:rsidRPr="007F09CE" w:rsidRDefault="00971EEF" w:rsidP="007F09CE">
            <w:pPr>
              <w:suppressLineNumbers/>
            </w:pPr>
            <w:sdt>
              <w:sdtPr>
                <w:rPr>
                  <w:rFonts w:ascii="Arial" w:hAnsi="Arial"/>
                  <w:b/>
                  <w:bCs/>
                  <w:noProof w:val="0"/>
                  <w:sz w:val="26"/>
                  <w:szCs w:val="26"/>
                  <w:rtl/>
                </w:rPr>
                <w:alias w:val="3151"/>
                <w:tag w:val="3151"/>
                <w:id w:val="1166218717"/>
                <w:placeholder>
                  <w:docPart w:val="6E9B64DE82404F9B827427D9CBC581D6"/>
                </w:placeholder>
                <w:text w:multiLine="1"/>
              </w:sdtPr>
              <w:sdtEndPr/>
              <w:sdtContent>
                <w:r w:rsidR="0016615E">
                  <w:rPr>
                    <w:rFonts w:ascii="Arial" w:hAnsi="Arial"/>
                    <w:b/>
                    <w:bCs/>
                    <w:noProof w:val="0"/>
                    <w:sz w:val="26"/>
                    <w:szCs w:val="26"/>
                    <w:rtl/>
                  </w:rPr>
                  <w:t>תמר בתיה פלג</w:t>
                </w:r>
              </w:sdtContent>
            </w:sdt>
          </w:p>
        </w:tc>
      </w:tr>
      <w:tr w:rsidR="00B02C76" w:rsidRPr="00FA4EAF" w:rsidTr="007F09CE">
        <w:trPr>
          <w:trHeight w:val="601"/>
        </w:trPr>
        <w:tc>
          <w:tcPr>
            <w:tcW w:w="8307" w:type="dxa"/>
            <w:gridSpan w:val="3"/>
          </w:tcPr>
          <w:p w:rsidR="00B02C76" w:rsidRPr="00FA4EAF" w:rsidRDefault="00B02C76" w:rsidP="00B02C76">
            <w:pPr>
              <w:rPr>
                <w:rFonts w:ascii="Arial" w:hAnsi="Arial"/>
                <w:b/>
                <w:bCs/>
                <w:noProof w:val="0"/>
                <w:sz w:val="26"/>
                <w:szCs w:val="26"/>
                <w:rtl/>
              </w:rPr>
            </w:pPr>
          </w:p>
          <w:p w:rsidR="00B02C76" w:rsidRPr="00FA4EAF" w:rsidRDefault="00B02C76" w:rsidP="00B02C76">
            <w:pPr>
              <w:jc w:val="center"/>
              <w:rPr>
                <w:rFonts w:ascii="Arial" w:hAnsi="Arial"/>
                <w:b/>
                <w:bCs/>
                <w:noProof w:val="0"/>
                <w:sz w:val="26"/>
                <w:szCs w:val="26"/>
                <w:rtl/>
              </w:rPr>
            </w:pPr>
            <w:r w:rsidRPr="00FA4EAF">
              <w:rPr>
                <w:rFonts w:ascii="Arial" w:hAnsi="Arial"/>
                <w:b/>
                <w:bCs/>
                <w:noProof w:val="0"/>
                <w:sz w:val="26"/>
                <w:szCs w:val="26"/>
                <w:rtl/>
              </w:rPr>
              <w:t>נגד</w:t>
            </w:r>
          </w:p>
          <w:p w:rsidR="00B02C76" w:rsidRPr="00AA5158" w:rsidRDefault="00B02C76" w:rsidP="00B02C76">
            <w:pPr>
              <w:rPr>
                <w:rFonts w:ascii="Arial" w:hAnsi="Arial"/>
                <w:b/>
                <w:bCs/>
                <w:noProof w:val="0"/>
                <w:sz w:val="16"/>
                <w:szCs w:val="16"/>
              </w:rPr>
            </w:pPr>
          </w:p>
        </w:tc>
      </w:tr>
      <w:tr w:rsidR="00B02C76" w:rsidRPr="00FA4EAF" w:rsidTr="007F09CE">
        <w:tc>
          <w:tcPr>
            <w:tcW w:w="3077" w:type="dxa"/>
          </w:tcPr>
          <w:p w:rsidR="00B02C76" w:rsidRPr="00FA4EAF" w:rsidRDefault="00B02C76" w:rsidP="00B02C76">
            <w:pPr>
              <w:rPr>
                <w:rFonts w:ascii="Arial" w:hAnsi="Arial"/>
                <w:b/>
                <w:bCs/>
                <w:noProof w:val="0"/>
                <w:sz w:val="26"/>
                <w:szCs w:val="26"/>
              </w:rPr>
            </w:pPr>
            <w:r w:rsidRPr="002D2705">
              <w:rPr>
                <w:rFonts w:hint="cs"/>
                <w:b/>
                <w:bCs/>
                <w:sz w:val="26"/>
                <w:szCs w:val="26"/>
                <w:rtl/>
              </w:rPr>
              <w:t>ה</w:t>
            </w:r>
            <w:sdt>
              <w:sdtPr>
                <w:rPr>
                  <w:sz w:val="26"/>
                  <w:szCs w:val="26"/>
                  <w:rtl/>
                </w:rPr>
                <w:alias w:val="1184"/>
                <w:tag w:val="1184"/>
                <w:id w:val="-340621022"/>
                <w:text w:multiLine="1"/>
              </w:sdtPr>
              <w:sdtEndPr/>
              <w:sdtContent>
                <w:r>
                  <w:rPr>
                    <w:rFonts w:ascii="Arial" w:hAnsi="Arial"/>
                    <w:b/>
                    <w:bCs/>
                    <w:noProof w:val="0"/>
                    <w:sz w:val="26"/>
                    <w:szCs w:val="26"/>
                    <w:rtl/>
                  </w:rPr>
                  <w:t>נתבעים</w:t>
                </w:r>
              </w:sdtContent>
            </w:sdt>
            <w:r>
              <w:rPr>
                <w:rFonts w:ascii="Arial" w:hAnsi="Arial" w:hint="cs"/>
                <w:b/>
                <w:bCs/>
                <w:noProof w:val="0"/>
                <w:sz w:val="26"/>
                <w:szCs w:val="26"/>
                <w:rtl/>
              </w:rPr>
              <w:t>:</w:t>
            </w:r>
          </w:p>
        </w:tc>
        <w:tc>
          <w:tcPr>
            <w:tcW w:w="5230" w:type="dxa"/>
            <w:gridSpan w:val="2"/>
          </w:tcPr>
          <w:p w:rsidR="00B02C76" w:rsidRPr="007F09CE" w:rsidRDefault="00B02C76" w:rsidP="007F09CE">
            <w:pPr>
              <w:rPr>
                <w:sz w:val="26"/>
                <w:szCs w:val="26"/>
                <w:rtl/>
              </w:rPr>
            </w:pPr>
          </w:p>
          <w:p w:rsidR="007F09CE" w:rsidRDefault="00971EEF" w:rsidP="007F09CE">
            <w:pPr>
              <w:suppressLineNumbers/>
            </w:pPr>
            <w:sdt>
              <w:sdtPr>
                <w:rPr>
                  <w:rFonts w:ascii="Arial" w:hAnsi="Arial"/>
                  <w:b/>
                  <w:bCs/>
                  <w:noProof w:val="0"/>
                  <w:sz w:val="26"/>
                  <w:szCs w:val="26"/>
                  <w:rtl/>
                </w:rPr>
                <w:alias w:val="1571"/>
                <w:tag w:val="1571"/>
                <w:id w:val="1028836282"/>
                <w:text w:multiLine="1"/>
              </w:sdtPr>
              <w:sdtEndPr/>
              <w:sdtContent>
                <w:r w:rsidR="0016615E">
                  <w:rPr>
                    <w:rFonts w:ascii="Arial" w:hAnsi="Arial"/>
                    <w:b/>
                    <w:bCs/>
                    <w:noProof w:val="0"/>
                    <w:sz w:val="26"/>
                    <w:szCs w:val="26"/>
                    <w:rtl/>
                  </w:rPr>
                  <w:t>1</w:t>
                </w:r>
              </w:sdtContent>
            </w:sdt>
            <w:r w:rsidR="007F09CE">
              <w:rPr>
                <w:rFonts w:ascii="Arial" w:hAnsi="Arial"/>
                <w:b/>
                <w:bCs/>
                <w:noProof w:val="0"/>
                <w:sz w:val="26"/>
                <w:szCs w:val="26"/>
                <w:rtl/>
              </w:rPr>
              <w:t xml:space="preserve">. </w:t>
            </w:r>
            <w:sdt>
              <w:sdtPr>
                <w:rPr>
                  <w:rFonts w:ascii="Arial" w:hAnsi="Arial"/>
                  <w:b/>
                  <w:bCs/>
                  <w:noProof w:val="0"/>
                  <w:sz w:val="26"/>
                  <w:szCs w:val="26"/>
                  <w:rtl/>
                </w:rPr>
                <w:alias w:val="3152"/>
                <w:tag w:val="3152"/>
                <w:id w:val="-1346628691"/>
                <w:placeholder>
                  <w:docPart w:val="4975FDB7C9824906A8EDDDC584D8F333"/>
                </w:placeholder>
                <w:text w:multiLine="1"/>
              </w:sdtPr>
              <w:sdtEndPr/>
              <w:sdtContent>
                <w:r w:rsidR="0016615E">
                  <w:rPr>
                    <w:rFonts w:ascii="Arial" w:hAnsi="Arial"/>
                    <w:b/>
                    <w:bCs/>
                    <w:noProof w:val="0"/>
                    <w:sz w:val="26"/>
                    <w:szCs w:val="26"/>
                    <w:rtl/>
                  </w:rPr>
                  <w:t>שרה בן חיים</w:t>
                </w:r>
              </w:sdtContent>
            </w:sdt>
          </w:p>
          <w:p w:rsidR="007F09CE" w:rsidRDefault="00971EEF" w:rsidP="007F09CE">
            <w:pPr>
              <w:suppressLineNumbers/>
            </w:pPr>
            <w:sdt>
              <w:sdtPr>
                <w:rPr>
                  <w:rFonts w:ascii="Arial" w:hAnsi="Arial"/>
                  <w:b/>
                  <w:bCs/>
                  <w:noProof w:val="0"/>
                  <w:sz w:val="26"/>
                  <w:szCs w:val="26"/>
                  <w:rtl/>
                </w:rPr>
                <w:alias w:val="1571"/>
                <w:tag w:val="1571"/>
                <w:id w:val="276681941"/>
                <w:text w:multiLine="1"/>
              </w:sdtPr>
              <w:sdtEndPr/>
              <w:sdtContent>
                <w:r w:rsidR="0016615E">
                  <w:rPr>
                    <w:rFonts w:ascii="Arial" w:hAnsi="Arial"/>
                    <w:b/>
                    <w:bCs/>
                    <w:noProof w:val="0"/>
                    <w:sz w:val="26"/>
                    <w:szCs w:val="26"/>
                    <w:rtl/>
                  </w:rPr>
                  <w:t>2</w:t>
                </w:r>
              </w:sdtContent>
            </w:sdt>
            <w:r w:rsidR="007F09CE">
              <w:rPr>
                <w:rFonts w:ascii="Arial" w:hAnsi="Arial"/>
                <w:b/>
                <w:bCs/>
                <w:noProof w:val="0"/>
                <w:sz w:val="26"/>
                <w:szCs w:val="26"/>
                <w:rtl/>
              </w:rPr>
              <w:t xml:space="preserve">. </w:t>
            </w:r>
            <w:sdt>
              <w:sdtPr>
                <w:rPr>
                  <w:rFonts w:ascii="Arial" w:hAnsi="Arial"/>
                  <w:b/>
                  <w:bCs/>
                  <w:noProof w:val="0"/>
                  <w:sz w:val="26"/>
                  <w:szCs w:val="26"/>
                  <w:rtl/>
                </w:rPr>
                <w:alias w:val="3152"/>
                <w:tag w:val="3152"/>
                <w:id w:val="728104756"/>
                <w:placeholder>
                  <w:docPart w:val="4975FDB7C9824906A8EDDDC584D8F333"/>
                </w:placeholder>
                <w:text w:multiLine="1"/>
              </w:sdtPr>
              <w:sdtEndPr/>
              <w:sdtContent>
                <w:r w:rsidR="0016615E">
                  <w:rPr>
                    <w:rFonts w:ascii="Arial" w:hAnsi="Arial"/>
                    <w:b/>
                    <w:bCs/>
                    <w:noProof w:val="0"/>
                    <w:sz w:val="26"/>
                    <w:szCs w:val="26"/>
                    <w:rtl/>
                  </w:rPr>
                  <w:t>בן קמינסקי</w:t>
                </w:r>
              </w:sdtContent>
            </w:sdt>
          </w:p>
          <w:p w:rsidR="007F09CE" w:rsidRDefault="00971EEF" w:rsidP="007F09CE">
            <w:pPr>
              <w:suppressLineNumbers/>
            </w:pPr>
            <w:sdt>
              <w:sdtPr>
                <w:rPr>
                  <w:rFonts w:ascii="Arial" w:hAnsi="Arial"/>
                  <w:b/>
                  <w:bCs/>
                  <w:noProof w:val="0"/>
                  <w:sz w:val="26"/>
                  <w:szCs w:val="26"/>
                  <w:rtl/>
                </w:rPr>
                <w:alias w:val="1571"/>
                <w:tag w:val="1571"/>
                <w:id w:val="1452214835"/>
                <w:text w:multiLine="1"/>
              </w:sdtPr>
              <w:sdtEndPr/>
              <w:sdtContent>
                <w:r w:rsidR="0016615E">
                  <w:rPr>
                    <w:rFonts w:ascii="Arial" w:hAnsi="Arial"/>
                    <w:b/>
                    <w:bCs/>
                    <w:noProof w:val="0"/>
                    <w:sz w:val="26"/>
                    <w:szCs w:val="26"/>
                    <w:rtl/>
                  </w:rPr>
                  <w:t>3</w:t>
                </w:r>
              </w:sdtContent>
            </w:sdt>
            <w:r w:rsidR="007F09CE">
              <w:rPr>
                <w:rFonts w:ascii="Arial" w:hAnsi="Arial"/>
                <w:b/>
                <w:bCs/>
                <w:noProof w:val="0"/>
                <w:sz w:val="26"/>
                <w:szCs w:val="26"/>
                <w:rtl/>
              </w:rPr>
              <w:t xml:space="preserve">. </w:t>
            </w:r>
            <w:sdt>
              <w:sdtPr>
                <w:rPr>
                  <w:rFonts w:ascii="Arial" w:hAnsi="Arial"/>
                  <w:b/>
                  <w:bCs/>
                  <w:noProof w:val="0"/>
                  <w:sz w:val="26"/>
                  <w:szCs w:val="26"/>
                  <w:rtl/>
                </w:rPr>
                <w:alias w:val="3152"/>
                <w:tag w:val="3152"/>
                <w:id w:val="-1077828223"/>
                <w:placeholder>
                  <w:docPart w:val="4975FDB7C9824906A8EDDDC584D8F333"/>
                </w:placeholder>
                <w:text w:multiLine="1"/>
              </w:sdtPr>
              <w:sdtEndPr/>
              <w:sdtContent>
                <w:r w:rsidR="0016615E">
                  <w:rPr>
                    <w:rFonts w:ascii="Arial" w:hAnsi="Arial"/>
                    <w:b/>
                    <w:bCs/>
                    <w:noProof w:val="0"/>
                    <w:sz w:val="26"/>
                    <w:szCs w:val="26"/>
                    <w:rtl/>
                  </w:rPr>
                  <w:t>פז אילן</w:t>
                </w:r>
              </w:sdtContent>
            </w:sdt>
          </w:p>
          <w:p w:rsidR="007F09CE" w:rsidRDefault="00971EEF" w:rsidP="007F09CE">
            <w:pPr>
              <w:suppressLineNumbers/>
            </w:pPr>
            <w:sdt>
              <w:sdtPr>
                <w:rPr>
                  <w:rFonts w:ascii="Arial" w:hAnsi="Arial"/>
                  <w:b/>
                  <w:bCs/>
                  <w:noProof w:val="0"/>
                  <w:sz w:val="26"/>
                  <w:szCs w:val="26"/>
                  <w:rtl/>
                </w:rPr>
                <w:alias w:val="1571"/>
                <w:tag w:val="1571"/>
                <w:id w:val="-662082924"/>
                <w:text w:multiLine="1"/>
              </w:sdtPr>
              <w:sdtEndPr/>
              <w:sdtContent>
                <w:r w:rsidR="0016615E">
                  <w:rPr>
                    <w:rFonts w:ascii="Arial" w:hAnsi="Arial"/>
                    <w:b/>
                    <w:bCs/>
                    <w:noProof w:val="0"/>
                    <w:sz w:val="26"/>
                    <w:szCs w:val="26"/>
                    <w:rtl/>
                  </w:rPr>
                  <w:t>4</w:t>
                </w:r>
              </w:sdtContent>
            </w:sdt>
            <w:r w:rsidR="007F09CE">
              <w:rPr>
                <w:rFonts w:ascii="Arial" w:hAnsi="Arial"/>
                <w:b/>
                <w:bCs/>
                <w:noProof w:val="0"/>
                <w:sz w:val="26"/>
                <w:szCs w:val="26"/>
                <w:rtl/>
              </w:rPr>
              <w:t xml:space="preserve">. </w:t>
            </w:r>
            <w:sdt>
              <w:sdtPr>
                <w:rPr>
                  <w:rFonts w:ascii="Arial" w:hAnsi="Arial"/>
                  <w:b/>
                  <w:bCs/>
                  <w:noProof w:val="0"/>
                  <w:sz w:val="26"/>
                  <w:szCs w:val="26"/>
                  <w:rtl/>
                </w:rPr>
                <w:alias w:val="3152"/>
                <w:tag w:val="3152"/>
                <w:id w:val="-421564662"/>
                <w:placeholder>
                  <w:docPart w:val="4975FDB7C9824906A8EDDDC584D8F333"/>
                </w:placeholder>
                <w:text w:multiLine="1"/>
              </w:sdtPr>
              <w:sdtEndPr/>
              <w:sdtContent>
                <w:r w:rsidR="0016615E">
                  <w:rPr>
                    <w:rFonts w:ascii="Arial" w:hAnsi="Arial"/>
                    <w:b/>
                    <w:bCs/>
                    <w:noProof w:val="0"/>
                    <w:sz w:val="26"/>
                    <w:szCs w:val="26"/>
                    <w:rtl/>
                  </w:rPr>
                  <w:t>רז אילן</w:t>
                </w:r>
              </w:sdtContent>
            </w:sdt>
          </w:p>
          <w:p w:rsidR="007F09CE" w:rsidRDefault="00971EEF" w:rsidP="007F09CE">
            <w:pPr>
              <w:suppressLineNumbers/>
            </w:pPr>
            <w:sdt>
              <w:sdtPr>
                <w:rPr>
                  <w:rFonts w:ascii="Arial" w:hAnsi="Arial"/>
                  <w:b/>
                  <w:bCs/>
                  <w:noProof w:val="0"/>
                  <w:sz w:val="26"/>
                  <w:szCs w:val="26"/>
                  <w:rtl/>
                </w:rPr>
                <w:alias w:val="1571"/>
                <w:tag w:val="1571"/>
                <w:id w:val="1999226061"/>
                <w:text w:multiLine="1"/>
              </w:sdtPr>
              <w:sdtEndPr/>
              <w:sdtContent>
                <w:r w:rsidR="0016615E">
                  <w:rPr>
                    <w:rFonts w:ascii="Arial" w:hAnsi="Arial"/>
                    <w:b/>
                    <w:bCs/>
                    <w:noProof w:val="0"/>
                    <w:sz w:val="26"/>
                    <w:szCs w:val="26"/>
                    <w:rtl/>
                  </w:rPr>
                  <w:t>5</w:t>
                </w:r>
              </w:sdtContent>
            </w:sdt>
            <w:r w:rsidR="007F09CE">
              <w:rPr>
                <w:rFonts w:ascii="Arial" w:hAnsi="Arial"/>
                <w:b/>
                <w:bCs/>
                <w:noProof w:val="0"/>
                <w:sz w:val="26"/>
                <w:szCs w:val="26"/>
                <w:rtl/>
              </w:rPr>
              <w:t xml:space="preserve">. </w:t>
            </w:r>
            <w:sdt>
              <w:sdtPr>
                <w:rPr>
                  <w:rFonts w:ascii="Arial" w:hAnsi="Arial"/>
                  <w:b/>
                  <w:bCs/>
                  <w:noProof w:val="0"/>
                  <w:sz w:val="26"/>
                  <w:szCs w:val="26"/>
                  <w:rtl/>
                </w:rPr>
                <w:alias w:val="3152"/>
                <w:tag w:val="3152"/>
                <w:id w:val="940343483"/>
                <w:placeholder>
                  <w:docPart w:val="4975FDB7C9824906A8EDDDC584D8F333"/>
                </w:placeholder>
                <w:text w:multiLine="1"/>
              </w:sdtPr>
              <w:sdtEndPr/>
              <w:sdtContent>
                <w:r w:rsidR="0016615E">
                  <w:rPr>
                    <w:rFonts w:ascii="Arial" w:hAnsi="Arial"/>
                    <w:b/>
                    <w:bCs/>
                    <w:noProof w:val="0"/>
                    <w:sz w:val="26"/>
                    <w:szCs w:val="26"/>
                    <w:rtl/>
                  </w:rPr>
                  <w:t>בני בן ציון מלומד</w:t>
                </w:r>
              </w:sdtContent>
            </w:sdt>
          </w:p>
          <w:p w:rsidR="007F09CE" w:rsidRDefault="00971EEF" w:rsidP="007F09CE">
            <w:pPr>
              <w:suppressLineNumbers/>
            </w:pPr>
            <w:sdt>
              <w:sdtPr>
                <w:rPr>
                  <w:rFonts w:ascii="Arial" w:hAnsi="Arial"/>
                  <w:b/>
                  <w:bCs/>
                  <w:noProof w:val="0"/>
                  <w:sz w:val="26"/>
                  <w:szCs w:val="26"/>
                  <w:rtl/>
                </w:rPr>
                <w:alias w:val="1571"/>
                <w:tag w:val="1571"/>
                <w:id w:val="848137417"/>
                <w:text w:multiLine="1"/>
              </w:sdtPr>
              <w:sdtEndPr/>
              <w:sdtContent>
                <w:r w:rsidR="0016615E">
                  <w:rPr>
                    <w:rFonts w:ascii="Arial" w:hAnsi="Arial"/>
                    <w:b/>
                    <w:bCs/>
                    <w:noProof w:val="0"/>
                    <w:sz w:val="26"/>
                    <w:szCs w:val="26"/>
                    <w:rtl/>
                  </w:rPr>
                  <w:t>6</w:t>
                </w:r>
              </w:sdtContent>
            </w:sdt>
            <w:r w:rsidR="007F09CE">
              <w:rPr>
                <w:rFonts w:ascii="Arial" w:hAnsi="Arial"/>
                <w:b/>
                <w:bCs/>
                <w:noProof w:val="0"/>
                <w:sz w:val="26"/>
                <w:szCs w:val="26"/>
                <w:rtl/>
              </w:rPr>
              <w:t xml:space="preserve">. </w:t>
            </w:r>
            <w:sdt>
              <w:sdtPr>
                <w:rPr>
                  <w:rFonts w:ascii="Arial" w:hAnsi="Arial"/>
                  <w:b/>
                  <w:bCs/>
                  <w:noProof w:val="0"/>
                  <w:sz w:val="26"/>
                  <w:szCs w:val="26"/>
                  <w:rtl/>
                </w:rPr>
                <w:alias w:val="3152"/>
                <w:tag w:val="3152"/>
                <w:id w:val="372890257"/>
                <w:placeholder>
                  <w:docPart w:val="4975FDB7C9824906A8EDDDC584D8F333"/>
                </w:placeholder>
                <w:text w:multiLine="1"/>
              </w:sdtPr>
              <w:sdtEndPr/>
              <w:sdtContent>
                <w:r w:rsidR="0016615E">
                  <w:rPr>
                    <w:rFonts w:ascii="Arial" w:hAnsi="Arial"/>
                    <w:b/>
                    <w:bCs/>
                    <w:noProof w:val="0"/>
                    <w:sz w:val="26"/>
                    <w:szCs w:val="26"/>
                    <w:rtl/>
                  </w:rPr>
                  <w:t>עמרי ינאי</w:t>
                </w:r>
              </w:sdtContent>
            </w:sdt>
          </w:p>
        </w:tc>
      </w:tr>
      <w:tr w:rsidR="00B02C76" w:rsidRPr="00FA4EAF" w:rsidTr="007F09CE">
        <w:tc>
          <w:tcPr>
            <w:tcW w:w="8307" w:type="dxa"/>
            <w:gridSpan w:val="3"/>
          </w:tcPr>
          <w:p w:rsidR="007F09CE" w:rsidRDefault="007F09CE" w:rsidP="007F09CE">
            <w:pPr>
              <w:rPr>
                <w:rFonts w:cs="Times New Roman"/>
                <w:rtl/>
              </w:rPr>
            </w:pPr>
            <w:r>
              <w:rPr>
                <w:rFonts w:cs="Times New Roman"/>
                <w:rtl/>
              </w:rPr>
              <w:t xml:space="preserve"> </w:t>
            </w:r>
          </w:p>
          <w:p w:rsidR="00B02C76" w:rsidRPr="007F09CE" w:rsidRDefault="00B02C76" w:rsidP="00B02C76">
            <w:pPr>
              <w:rPr>
                <w:rFonts w:ascii="Arial" w:hAnsi="Arial"/>
                <w:b/>
                <w:bCs/>
                <w:noProof w:val="0"/>
                <w:sz w:val="26"/>
                <w:szCs w:val="26"/>
                <w:rtl/>
              </w:rPr>
            </w:pPr>
          </w:p>
        </w:tc>
      </w:tr>
      <w:tr w:rsidR="0016772A" w:rsidRPr="00FA4EAF" w:rsidTr="007F09CE">
        <w:tc>
          <w:tcPr>
            <w:tcW w:w="8307" w:type="dxa"/>
            <w:gridSpan w:val="3"/>
          </w:tcPr>
          <w:p w:rsidR="0016772A" w:rsidRDefault="0016772A" w:rsidP="007F09CE">
            <w:pPr>
              <w:rPr>
                <w:rFonts w:cs="Times New Roman"/>
                <w:rtl/>
              </w:rPr>
            </w:pPr>
          </w:p>
        </w:tc>
      </w:tr>
    </w:tbl>
    <w:p w:rsidR="00E31C2B" w:rsidRDefault="007F09CE" w:rsidP="004D1998">
      <w:pPr>
        <w:rPr>
          <w:sz w:val="12"/>
          <w:szCs w:val="12"/>
          <w:rtl/>
        </w:rPr>
      </w:pPr>
      <w:r>
        <w:rPr>
          <w:rFonts w:hint="eastAsia"/>
          <w:sz w:val="26"/>
          <w:szCs w:val="26"/>
          <w:rtl/>
        </w:rPr>
        <w:t xml:space="preserve"> </w:t>
      </w:r>
    </w:p>
    <w:p w:rsidR="0016772A" w:rsidRDefault="0016772A" w:rsidP="0016772A">
      <w:pPr>
        <w:ind w:left="2160" w:right="-426" w:hanging="2160"/>
        <w:rPr>
          <w:sz w:val="12"/>
          <w:rtl/>
        </w:rPr>
      </w:pPr>
      <w:r w:rsidRPr="0016772A">
        <w:rPr>
          <w:rFonts w:hint="cs"/>
          <w:sz w:val="12"/>
          <w:rtl/>
        </w:rPr>
        <w:t>ב"כ התובעת:</w:t>
      </w:r>
      <w:r>
        <w:rPr>
          <w:rFonts w:hint="cs"/>
          <w:sz w:val="12"/>
          <w:rtl/>
        </w:rPr>
        <w:t xml:space="preserve"> </w:t>
      </w:r>
      <w:r>
        <w:rPr>
          <w:sz w:val="12"/>
          <w:rtl/>
        </w:rPr>
        <w:tab/>
      </w:r>
      <w:r w:rsidRPr="0016772A">
        <w:rPr>
          <w:rFonts w:hint="cs"/>
          <w:sz w:val="12"/>
          <w:rtl/>
        </w:rPr>
        <w:t xml:space="preserve">עו"ד עמירם גיצלטר, עו"ד עומר קאופמן, מרוטנשטרייך </w:t>
      </w:r>
      <w:r w:rsidRPr="0016772A">
        <w:rPr>
          <w:sz w:val="12"/>
          <w:rtl/>
        </w:rPr>
        <w:t>–</w:t>
      </w:r>
      <w:r w:rsidRPr="0016772A">
        <w:rPr>
          <w:rFonts w:hint="cs"/>
          <w:sz w:val="12"/>
          <w:rtl/>
        </w:rPr>
        <w:t xml:space="preserve"> גיצלטר, עורכי דין</w:t>
      </w:r>
    </w:p>
    <w:p w:rsidR="0016772A" w:rsidRPr="0016772A" w:rsidRDefault="0016772A" w:rsidP="0016772A">
      <w:pPr>
        <w:ind w:left="1440" w:right="-567" w:hanging="1440"/>
        <w:rPr>
          <w:sz w:val="12"/>
          <w:rtl/>
        </w:rPr>
      </w:pPr>
      <w:r>
        <w:rPr>
          <w:rFonts w:hint="cs"/>
          <w:sz w:val="12"/>
          <w:rtl/>
        </w:rPr>
        <w:t>ב"כ הנתבעים 1-5:</w:t>
      </w:r>
      <w:r>
        <w:rPr>
          <w:sz w:val="12"/>
          <w:rtl/>
        </w:rPr>
        <w:tab/>
      </w:r>
      <w:r>
        <w:rPr>
          <w:rFonts w:hint="cs"/>
          <w:sz w:val="12"/>
          <w:rtl/>
        </w:rPr>
        <w:t>עו"ד מרדכי גרון</w:t>
      </w:r>
    </w:p>
    <w:p w:rsidR="0016772A" w:rsidRDefault="0016772A" w:rsidP="004D1998">
      <w:pPr>
        <w:rPr>
          <w:sz w:val="12"/>
          <w:szCs w:val="12"/>
          <w:rtl/>
        </w:rPr>
      </w:pPr>
    </w:p>
    <w:p w:rsidR="0016772A" w:rsidRDefault="0016772A" w:rsidP="004D1998">
      <w:pPr>
        <w:rPr>
          <w:sz w:val="12"/>
          <w:szCs w:val="12"/>
          <w:rtl/>
        </w:rPr>
      </w:pPr>
    </w:p>
    <w:p w:rsidR="0016772A" w:rsidRPr="004C7358" w:rsidRDefault="0016772A" w:rsidP="004D1998">
      <w:pPr>
        <w:rPr>
          <w:sz w:val="12"/>
          <w:szCs w:val="12"/>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6615E">
            <w:pPr>
              <w:bidi w:val="0"/>
              <w:jc w:val="center"/>
              <w:rPr>
                <w:rFonts w:ascii="Arial" w:hAnsi="Arial"/>
                <w:b/>
                <w:bCs/>
                <w:noProof w:val="0"/>
                <w:sz w:val="28"/>
                <w:szCs w:val="28"/>
                <w:u w:val="single"/>
              </w:rPr>
            </w:pPr>
            <w:r w:rsidRPr="0016772A">
              <w:rPr>
                <w:rFonts w:ascii="Arial" w:hAnsi="Arial" w:hint="cs"/>
                <w:b/>
                <w:bCs/>
                <w:noProof w:val="0"/>
                <w:sz w:val="40"/>
                <w:szCs w:val="40"/>
                <w:u w:val="single"/>
                <w:rtl/>
              </w:rPr>
              <w:t>פסק דין</w:t>
            </w:r>
          </w:p>
        </w:tc>
      </w:tr>
    </w:tbl>
    <w:p w:rsidR="00694556" w:rsidRDefault="00694556">
      <w:pPr>
        <w:spacing w:line="360" w:lineRule="auto"/>
        <w:jc w:val="both"/>
        <w:rPr>
          <w:rFonts w:ascii="Arial" w:hAnsi="Arial"/>
          <w:noProof w:val="0"/>
          <w:rtl/>
        </w:rPr>
      </w:pPr>
    </w:p>
    <w:tbl>
      <w:tblPr>
        <w:tblStyle w:val="a9"/>
        <w:tblpPr w:leftFromText="180" w:rightFromText="180" w:vertAnchor="text" w:tblpY="-19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83"/>
        <w:gridCol w:w="3324"/>
      </w:tblGrid>
      <w:tr w:rsidR="0016772A" w:rsidTr="0016772A">
        <w:trPr>
          <w:trHeight w:val="147"/>
        </w:trPr>
        <w:tc>
          <w:tcPr>
            <w:tcW w:w="5103" w:type="dxa"/>
          </w:tcPr>
          <w:p w:rsidR="0016772A" w:rsidRDefault="0016772A">
            <w:pPr>
              <w:spacing w:line="360" w:lineRule="auto"/>
              <w:rPr>
                <w:rFonts w:ascii="David" w:hAnsi="David"/>
                <w:b/>
                <w:bCs/>
                <w:noProof w:val="0"/>
              </w:rPr>
            </w:pPr>
            <w:bookmarkStart w:id="0" w:name="NGCSBookmark"/>
            <w:bookmarkEnd w:id="0"/>
          </w:p>
        </w:tc>
        <w:tc>
          <w:tcPr>
            <w:tcW w:w="3402" w:type="dxa"/>
            <w:hideMark/>
          </w:tcPr>
          <w:p w:rsidR="0016772A" w:rsidRDefault="0016772A">
            <w:pPr>
              <w:spacing w:line="360" w:lineRule="auto"/>
              <w:rPr>
                <w:rFonts w:ascii="David" w:hAnsi="David"/>
                <w:b/>
                <w:bCs/>
                <w:rtl/>
              </w:rPr>
            </w:pPr>
            <w:r>
              <w:rPr>
                <w:rFonts w:ascii="David" w:hAnsi="David"/>
                <w:rtl/>
              </w:rPr>
              <w:t xml:space="preserve"> </w:t>
            </w:r>
          </w:p>
        </w:tc>
      </w:tr>
    </w:tbl>
    <w:p w:rsidR="0016772A" w:rsidRDefault="0016772A" w:rsidP="0016772A">
      <w:pPr>
        <w:pStyle w:val="ad"/>
        <w:spacing w:line="360" w:lineRule="auto"/>
        <w:ind w:left="-739"/>
        <w:jc w:val="both"/>
        <w:rPr>
          <w:rFonts w:ascii="David" w:hAnsi="David" w:cs="David"/>
          <w:b/>
          <w:bCs/>
          <w:sz w:val="28"/>
          <w:szCs w:val="28"/>
          <w:u w:val="single"/>
          <w:rtl/>
        </w:rPr>
      </w:pPr>
      <w:r>
        <w:rPr>
          <w:rFonts w:ascii="David" w:hAnsi="David" w:cs="David"/>
          <w:b/>
          <w:bCs/>
          <w:sz w:val="28"/>
          <w:szCs w:val="28"/>
          <w:u w:val="single"/>
          <w:rtl/>
        </w:rPr>
        <w:t>חלק ראשון – פתח דבר – עניינו של פסק הדין; תשעת העדים שנשמעו; תוצאת פסק הדין</w:t>
      </w:r>
    </w:p>
    <w:p w:rsidR="0016772A" w:rsidRDefault="0016772A" w:rsidP="0016772A">
      <w:pPr>
        <w:pStyle w:val="ad"/>
        <w:spacing w:line="360" w:lineRule="auto"/>
        <w:ind w:left="-739"/>
        <w:jc w:val="both"/>
        <w:rPr>
          <w:rFonts w:ascii="David" w:hAnsi="David" w:cs="David"/>
          <w:sz w:val="24"/>
          <w:szCs w:val="24"/>
          <w:rtl/>
        </w:rPr>
      </w:pPr>
    </w:p>
    <w:p w:rsidR="0016772A" w:rsidRDefault="0016772A" w:rsidP="0016772A">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עניינו של פסק הדין</w:t>
      </w:r>
    </w:p>
    <w:p w:rsidR="0016772A" w:rsidRDefault="0016772A" w:rsidP="0016772A">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עניינו של פסק הדין הוא תביעה על סך של 1,000,000 ₪ שהגישה ביתה והיורשת של דיירת מוגנת לשעבר בדירה ("התובעת") כנגד בעלי הזכויות בדירה ("הנתבעים").</w:t>
      </w:r>
    </w:p>
    <w:p w:rsidR="0016772A" w:rsidRDefault="0016772A" w:rsidP="0016772A">
      <w:pPr>
        <w:pStyle w:val="ad"/>
        <w:spacing w:line="360" w:lineRule="auto"/>
        <w:ind w:left="395"/>
        <w:jc w:val="both"/>
        <w:rPr>
          <w:rFonts w:ascii="David" w:hAnsi="David" w:cs="David"/>
          <w:sz w:val="24"/>
          <w:szCs w:val="24"/>
        </w:rPr>
      </w:pPr>
    </w:p>
    <w:p w:rsidR="0016772A" w:rsidRDefault="0016772A" w:rsidP="00DB7AA5">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התובעת מציינת שאימה התגוררה בדירה בדיירות מוגנת במשך שבעים שנה, עד לפטירתה בשנות התשעים לחייה. בחודשים האחרונים לחיי האם המנוחה, היא נקטה בהליך משפטי כנגד הנתבעים שמטרתו אישור העברת זכויות הדיירות המוגנת לדיירים מוצעים. ההליך המשפטי כנגד הנתבעים החל ביום 20/4/2021; דיון יחיד בו התקיים ביום 15/6/2021; האם המנוחה הלכה לעולמה</w:t>
      </w:r>
      <w:r w:rsidR="00DB7AA5">
        <w:rPr>
          <w:rFonts w:ascii="David" w:hAnsi="David" w:cs="David" w:hint="cs"/>
          <w:sz w:val="24"/>
          <w:szCs w:val="24"/>
          <w:rtl/>
        </w:rPr>
        <w:t xml:space="preserve"> למרבה הצער</w:t>
      </w:r>
      <w:r>
        <w:rPr>
          <w:rFonts w:ascii="David" w:hAnsi="David" w:cs="David"/>
          <w:sz w:val="24"/>
          <w:szCs w:val="24"/>
          <w:rtl/>
        </w:rPr>
        <w:t xml:space="preserve"> שלושה ימים מאוחר יותר וביום 18/6/2021; פסק דין הקובע שעם מותה של האם המנוחה פקעו זכויות הדיירות המוגנת ניתן ביום 12/7/2021; לא הוגש כל ערעור על פסק הדין.</w:t>
      </w:r>
    </w:p>
    <w:p w:rsidR="0016772A" w:rsidRDefault="0016772A" w:rsidP="0016772A">
      <w:pPr>
        <w:pStyle w:val="ad"/>
        <w:rPr>
          <w:rFonts w:ascii="David" w:hAnsi="David" w:cs="David"/>
          <w:sz w:val="24"/>
          <w:szCs w:val="24"/>
        </w:rPr>
      </w:pPr>
    </w:p>
    <w:p w:rsidR="0016772A" w:rsidRDefault="0016772A" w:rsidP="0016772A">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למרות </w:t>
      </w:r>
      <w:r w:rsidRPr="00DB7AA5">
        <w:rPr>
          <w:rFonts w:ascii="David" w:hAnsi="David" w:cs="David"/>
          <w:sz w:val="24"/>
          <w:szCs w:val="24"/>
          <w:rtl/>
        </w:rPr>
        <w:t>פסק הדין החלוט הקובע שלאם המנוחה אין כל זכויות דיירות מוגנת, שכן אלה פקעו</w:t>
      </w:r>
      <w:r>
        <w:rPr>
          <w:rFonts w:ascii="David" w:hAnsi="David" w:cs="David"/>
          <w:sz w:val="24"/>
          <w:szCs w:val="24"/>
          <w:rtl/>
        </w:rPr>
        <w:t xml:space="preserve"> – הוגשה התביעה כאן. התובעת טוענת ל"זכות כספית" נפרדת מזכות הדיירות המוגנת – ומכאן עותרת לחייב את הנתבעים בסך של 1,000,000 ₪. סך השווה לשני שלישים מזכות </w:t>
      </w:r>
      <w:r>
        <w:rPr>
          <w:rFonts w:ascii="David" w:hAnsi="David" w:cs="David"/>
          <w:sz w:val="24"/>
          <w:szCs w:val="24"/>
          <w:rtl/>
        </w:rPr>
        <w:lastRenderedPageBreak/>
        <w:t>הדיירות המוגנת. עוד טוענת התובעת כנגד התנהלות הנתבעים במטרה "לסכל את האפשרות של המנוחה להשלים את הליך חילוף הדיירים".</w:t>
      </w:r>
    </w:p>
    <w:p w:rsidR="0016772A" w:rsidRDefault="0016772A" w:rsidP="0016772A">
      <w:pPr>
        <w:pStyle w:val="ad"/>
        <w:rPr>
          <w:rFonts w:ascii="David" w:hAnsi="David" w:cs="David"/>
          <w:sz w:val="24"/>
          <w:szCs w:val="24"/>
        </w:rPr>
      </w:pPr>
    </w:p>
    <w:p w:rsidR="0016772A" w:rsidRDefault="0016772A" w:rsidP="00DB7AA5">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אין חולק על כך שלאם המנוחה היו בחייה זכויות דיירות מוגנת; </w:t>
      </w:r>
      <w:r w:rsidR="00DB7AA5">
        <w:rPr>
          <w:rFonts w:ascii="David" w:hAnsi="David" w:cs="David" w:hint="cs"/>
          <w:sz w:val="24"/>
          <w:szCs w:val="24"/>
          <w:rtl/>
        </w:rPr>
        <w:t>נראה ש</w:t>
      </w:r>
      <w:r>
        <w:rPr>
          <w:rFonts w:ascii="David" w:hAnsi="David" w:cs="David"/>
          <w:sz w:val="24"/>
          <w:szCs w:val="24"/>
          <w:rtl/>
        </w:rPr>
        <w:t>אין חולק על כך שניתן</w:t>
      </w:r>
      <w:r w:rsidR="00DB7AA5">
        <w:rPr>
          <w:rFonts w:ascii="David" w:hAnsi="David" w:cs="David" w:hint="cs"/>
          <w:sz w:val="24"/>
          <w:szCs w:val="24"/>
          <w:rtl/>
        </w:rPr>
        <w:t xml:space="preserve"> היה </w:t>
      </w:r>
      <w:r>
        <w:rPr>
          <w:rFonts w:ascii="David" w:hAnsi="David" w:cs="David"/>
          <w:sz w:val="24"/>
          <w:szCs w:val="24"/>
          <w:rtl/>
        </w:rPr>
        <w:t xml:space="preserve"> לפדות את זכויות הדיירות המוגנת</w:t>
      </w:r>
      <w:r w:rsidR="00DB7AA5">
        <w:rPr>
          <w:rFonts w:ascii="David" w:hAnsi="David" w:cs="David" w:hint="cs"/>
          <w:sz w:val="24"/>
          <w:szCs w:val="24"/>
          <w:rtl/>
        </w:rPr>
        <w:t xml:space="preserve"> בכפוף לדין</w:t>
      </w:r>
      <w:r>
        <w:rPr>
          <w:rFonts w:ascii="David" w:hAnsi="David" w:cs="David"/>
          <w:sz w:val="24"/>
          <w:szCs w:val="24"/>
          <w:rtl/>
        </w:rPr>
        <w:t xml:space="preserve"> בדרך של תשלום כספי השווה במקרה זה לשני שלישים מתשלום דמי המפתח שישולמו על ידי דיירים נכנסים, ככל שאלה יאושרו; </w:t>
      </w:r>
      <w:r>
        <w:rPr>
          <w:rFonts w:ascii="David" w:hAnsi="David" w:cs="David"/>
          <w:sz w:val="24"/>
          <w:szCs w:val="24"/>
          <w:u w:val="single"/>
          <w:rtl/>
        </w:rPr>
        <w:t>ואולם</w:t>
      </w:r>
      <w:r>
        <w:rPr>
          <w:rFonts w:ascii="David" w:hAnsi="David" w:cs="David"/>
          <w:sz w:val="24"/>
          <w:szCs w:val="24"/>
          <w:rtl/>
        </w:rPr>
        <w:t xml:space="preserve"> – התובעת טוענת שאפילו פקעו זכויות הדיירות המוגנת, עדיין ניתן לפדות אותם כנגד תשלום שני שלישים נערכם. ובמילים פשוטות – לחייב בתשלום בעבור </w:t>
      </w:r>
      <w:r>
        <w:rPr>
          <w:rFonts w:ascii="David" w:hAnsi="David" w:cs="David"/>
          <w:sz w:val="24"/>
          <w:szCs w:val="24"/>
          <w:u w:val="single"/>
          <w:rtl/>
        </w:rPr>
        <w:t>זכו</w:t>
      </w:r>
      <w:r w:rsidR="00DB7AA5">
        <w:rPr>
          <w:rFonts w:ascii="David" w:hAnsi="David" w:cs="David"/>
          <w:sz w:val="24"/>
          <w:szCs w:val="24"/>
          <w:u w:val="single"/>
          <w:rtl/>
        </w:rPr>
        <w:t>ת שאינ</w:t>
      </w:r>
      <w:r w:rsidR="00DB7AA5">
        <w:rPr>
          <w:rFonts w:ascii="David" w:hAnsi="David" w:cs="David" w:hint="cs"/>
          <w:sz w:val="24"/>
          <w:szCs w:val="24"/>
          <w:u w:val="single"/>
          <w:rtl/>
        </w:rPr>
        <w:t>ה</w:t>
      </w:r>
      <w:r>
        <w:rPr>
          <w:rFonts w:ascii="David" w:hAnsi="David" w:cs="David"/>
          <w:sz w:val="24"/>
          <w:szCs w:val="24"/>
          <w:u w:val="single"/>
          <w:rtl/>
        </w:rPr>
        <w:t xml:space="preserve"> קיימת</w:t>
      </w:r>
      <w:r>
        <w:rPr>
          <w:rFonts w:ascii="David" w:hAnsi="David" w:cs="David"/>
          <w:sz w:val="24"/>
          <w:szCs w:val="24"/>
          <w:rtl/>
        </w:rPr>
        <w:t>.</w:t>
      </w:r>
    </w:p>
    <w:p w:rsidR="0016772A" w:rsidRDefault="0016772A" w:rsidP="0016772A">
      <w:pPr>
        <w:pStyle w:val="ad"/>
        <w:spacing w:line="360" w:lineRule="auto"/>
        <w:ind w:left="-172"/>
        <w:jc w:val="both"/>
        <w:rPr>
          <w:rFonts w:ascii="David" w:hAnsi="David" w:cs="David"/>
          <w:sz w:val="24"/>
          <w:szCs w:val="24"/>
          <w:rtl/>
        </w:rPr>
      </w:pPr>
    </w:p>
    <w:p w:rsidR="0016772A" w:rsidRDefault="0016772A" w:rsidP="0016772A">
      <w:pPr>
        <w:pStyle w:val="ad"/>
        <w:numPr>
          <w:ilvl w:val="0"/>
          <w:numId w:val="1"/>
        </w:numPr>
        <w:spacing w:line="360" w:lineRule="auto"/>
        <w:ind w:left="-172" w:hanging="284"/>
        <w:jc w:val="both"/>
        <w:rPr>
          <w:rFonts w:ascii="David" w:hAnsi="David" w:cs="David"/>
          <w:sz w:val="24"/>
          <w:szCs w:val="24"/>
          <w:rtl/>
        </w:rPr>
      </w:pPr>
      <w:r>
        <w:rPr>
          <w:rFonts w:ascii="David" w:hAnsi="David" w:cs="David"/>
          <w:b/>
          <w:bCs/>
          <w:sz w:val="24"/>
          <w:szCs w:val="24"/>
          <w:u w:val="single"/>
          <w:rtl/>
        </w:rPr>
        <w:t>תשעת העדים שנשמעו בהליך</w:t>
      </w:r>
    </w:p>
    <w:p w:rsidR="0016772A" w:rsidRDefault="0016772A" w:rsidP="0016772A">
      <w:pPr>
        <w:pStyle w:val="ad"/>
        <w:spacing w:line="360" w:lineRule="auto"/>
        <w:ind w:left="-172"/>
        <w:jc w:val="both"/>
        <w:rPr>
          <w:rFonts w:ascii="David" w:hAnsi="David" w:cs="David"/>
          <w:sz w:val="24"/>
          <w:szCs w:val="24"/>
        </w:rPr>
      </w:pPr>
      <w:r>
        <w:rPr>
          <w:rFonts w:ascii="David" w:hAnsi="David" w:cs="David"/>
          <w:sz w:val="24"/>
          <w:szCs w:val="24"/>
          <w:rtl/>
        </w:rPr>
        <w:t>במסגרת ההליך נשמעו תשע עדויות, כמפורט להלן:</w:t>
      </w:r>
    </w:p>
    <w:p w:rsidR="0016772A" w:rsidRDefault="0016772A" w:rsidP="0016772A">
      <w:pPr>
        <w:pStyle w:val="ad"/>
        <w:spacing w:line="360" w:lineRule="auto"/>
        <w:ind w:left="-172"/>
        <w:jc w:val="both"/>
        <w:rPr>
          <w:rFonts w:ascii="David" w:hAnsi="David" w:cs="David"/>
          <w:sz w:val="24"/>
          <w:szCs w:val="24"/>
        </w:rPr>
      </w:pPr>
    </w:p>
    <w:p w:rsidR="0016772A" w:rsidRDefault="0016772A" w:rsidP="0016772A">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מטעם התובעת העידו חמישה:</w:t>
      </w:r>
    </w:p>
    <w:p w:rsidR="0016772A" w:rsidRDefault="0016772A" w:rsidP="0016772A">
      <w:pPr>
        <w:pStyle w:val="ad"/>
        <w:numPr>
          <w:ilvl w:val="0"/>
          <w:numId w:val="2"/>
        </w:numPr>
        <w:spacing w:line="360" w:lineRule="auto"/>
        <w:jc w:val="both"/>
        <w:rPr>
          <w:rFonts w:ascii="David" w:hAnsi="David" w:cs="David"/>
          <w:sz w:val="24"/>
          <w:szCs w:val="24"/>
        </w:rPr>
      </w:pPr>
      <w:r>
        <w:rPr>
          <w:rFonts w:ascii="David" w:hAnsi="David" w:cs="David"/>
          <w:sz w:val="24"/>
          <w:szCs w:val="24"/>
          <w:rtl/>
        </w:rPr>
        <w:t>התובעת עצמה;</w:t>
      </w:r>
    </w:p>
    <w:p w:rsidR="0016772A" w:rsidRDefault="0016772A" w:rsidP="0016772A">
      <w:pPr>
        <w:pStyle w:val="ad"/>
        <w:numPr>
          <w:ilvl w:val="0"/>
          <w:numId w:val="2"/>
        </w:numPr>
        <w:spacing w:line="360" w:lineRule="auto"/>
        <w:jc w:val="both"/>
        <w:rPr>
          <w:rFonts w:ascii="David" w:hAnsi="David" w:cs="David"/>
          <w:sz w:val="24"/>
          <w:szCs w:val="24"/>
        </w:rPr>
      </w:pPr>
      <w:r>
        <w:rPr>
          <w:rFonts w:ascii="David" w:hAnsi="David" w:cs="David"/>
          <w:sz w:val="24"/>
          <w:szCs w:val="24"/>
          <w:rtl/>
        </w:rPr>
        <w:t>מר אייל פלג, בנה של התובעת;</w:t>
      </w:r>
    </w:p>
    <w:p w:rsidR="0016772A" w:rsidRDefault="0016772A" w:rsidP="0016772A">
      <w:pPr>
        <w:pStyle w:val="ad"/>
        <w:numPr>
          <w:ilvl w:val="0"/>
          <w:numId w:val="2"/>
        </w:numPr>
        <w:spacing w:line="360" w:lineRule="auto"/>
        <w:jc w:val="both"/>
        <w:rPr>
          <w:rFonts w:ascii="David" w:hAnsi="David" w:cs="David"/>
          <w:sz w:val="24"/>
          <w:szCs w:val="24"/>
        </w:rPr>
      </w:pPr>
      <w:r>
        <w:rPr>
          <w:rFonts w:ascii="David" w:hAnsi="David" w:cs="David"/>
          <w:sz w:val="24"/>
          <w:szCs w:val="24"/>
          <w:rtl/>
        </w:rPr>
        <w:t>גב' יוכבד אהרונסון, חברתה של האם המנוחה;</w:t>
      </w:r>
    </w:p>
    <w:p w:rsidR="0016772A" w:rsidRDefault="0016772A" w:rsidP="0016772A">
      <w:pPr>
        <w:pStyle w:val="ad"/>
        <w:numPr>
          <w:ilvl w:val="0"/>
          <w:numId w:val="2"/>
        </w:numPr>
        <w:spacing w:line="360" w:lineRule="auto"/>
        <w:jc w:val="both"/>
        <w:rPr>
          <w:rFonts w:ascii="David" w:hAnsi="David" w:cs="David"/>
          <w:sz w:val="24"/>
          <w:szCs w:val="24"/>
        </w:rPr>
      </w:pPr>
      <w:r>
        <w:rPr>
          <w:rFonts w:ascii="David" w:hAnsi="David" w:cs="David"/>
          <w:sz w:val="24"/>
          <w:szCs w:val="24"/>
          <w:rtl/>
        </w:rPr>
        <w:t>מר אוריאל ברנדלר, הדייר המוצע שהגיש יחד עם רעייתו תצהירי "דייר נכנס";</w:t>
      </w:r>
    </w:p>
    <w:p w:rsidR="0016772A" w:rsidRDefault="0016772A" w:rsidP="0016772A">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עו"ד דוד הנדל, שייצג את האם המנוחה. </w:t>
      </w:r>
    </w:p>
    <w:p w:rsidR="0016772A" w:rsidRDefault="0016772A" w:rsidP="0016772A">
      <w:pPr>
        <w:pStyle w:val="ad"/>
        <w:spacing w:line="360" w:lineRule="auto"/>
        <w:ind w:left="-172"/>
        <w:jc w:val="both"/>
        <w:rPr>
          <w:rFonts w:ascii="David" w:hAnsi="David" w:cs="David"/>
          <w:sz w:val="24"/>
          <w:szCs w:val="24"/>
        </w:rPr>
      </w:pPr>
    </w:p>
    <w:p w:rsidR="0016772A" w:rsidRDefault="0016772A" w:rsidP="0016772A">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מטעם הנתבעים העידו ארבעה:</w:t>
      </w:r>
    </w:p>
    <w:p w:rsidR="0016772A" w:rsidRDefault="0016772A" w:rsidP="0016772A">
      <w:pPr>
        <w:pStyle w:val="ad"/>
        <w:numPr>
          <w:ilvl w:val="0"/>
          <w:numId w:val="2"/>
        </w:numPr>
        <w:spacing w:line="360" w:lineRule="auto"/>
        <w:jc w:val="both"/>
        <w:rPr>
          <w:rFonts w:ascii="David" w:hAnsi="David" w:cs="David"/>
          <w:sz w:val="24"/>
          <w:szCs w:val="24"/>
        </w:rPr>
      </w:pPr>
      <w:r>
        <w:rPr>
          <w:rFonts w:ascii="David" w:hAnsi="David" w:cs="David"/>
          <w:sz w:val="24"/>
          <w:szCs w:val="24"/>
          <w:rtl/>
        </w:rPr>
        <w:t>הנתבע 2;</w:t>
      </w:r>
    </w:p>
    <w:p w:rsidR="0016772A" w:rsidRDefault="0016772A" w:rsidP="0016772A">
      <w:pPr>
        <w:pStyle w:val="ad"/>
        <w:numPr>
          <w:ilvl w:val="0"/>
          <w:numId w:val="2"/>
        </w:numPr>
        <w:spacing w:line="360" w:lineRule="auto"/>
        <w:jc w:val="both"/>
        <w:rPr>
          <w:rFonts w:ascii="David" w:hAnsi="David" w:cs="David"/>
          <w:sz w:val="24"/>
          <w:szCs w:val="24"/>
        </w:rPr>
      </w:pPr>
      <w:r>
        <w:rPr>
          <w:rFonts w:ascii="David" w:hAnsi="David" w:cs="David"/>
          <w:sz w:val="24"/>
          <w:szCs w:val="24"/>
          <w:rtl/>
        </w:rPr>
        <w:t>הנתבע 6;</w:t>
      </w:r>
    </w:p>
    <w:p w:rsidR="0016772A" w:rsidRDefault="0016772A" w:rsidP="0016772A">
      <w:pPr>
        <w:pStyle w:val="ad"/>
        <w:numPr>
          <w:ilvl w:val="0"/>
          <w:numId w:val="2"/>
        </w:numPr>
        <w:spacing w:line="360" w:lineRule="auto"/>
        <w:jc w:val="both"/>
        <w:rPr>
          <w:rFonts w:ascii="David" w:hAnsi="David" w:cs="David"/>
          <w:sz w:val="24"/>
          <w:szCs w:val="24"/>
        </w:rPr>
      </w:pPr>
      <w:r>
        <w:rPr>
          <w:rFonts w:ascii="David" w:hAnsi="David" w:cs="David"/>
          <w:sz w:val="24"/>
          <w:szCs w:val="24"/>
          <w:rtl/>
        </w:rPr>
        <w:t>עו"ד אילנה קמינסקי, אימו של הנתבע 2 וגיסתה של הנתבעת 1 וכן קרובת משפחה רחוקה של הנתבעים האחרים;</w:t>
      </w:r>
    </w:p>
    <w:p w:rsidR="0016772A" w:rsidRDefault="0016772A" w:rsidP="0016772A">
      <w:pPr>
        <w:pStyle w:val="ad"/>
        <w:numPr>
          <w:ilvl w:val="0"/>
          <w:numId w:val="2"/>
        </w:numPr>
        <w:spacing w:line="360" w:lineRule="auto"/>
        <w:jc w:val="both"/>
        <w:rPr>
          <w:rFonts w:ascii="David" w:hAnsi="David" w:cs="David"/>
          <w:sz w:val="24"/>
          <w:szCs w:val="24"/>
        </w:rPr>
      </w:pPr>
      <w:r>
        <w:rPr>
          <w:rFonts w:ascii="David" w:hAnsi="David" w:cs="David"/>
          <w:sz w:val="24"/>
          <w:szCs w:val="24"/>
          <w:rtl/>
        </w:rPr>
        <w:t>החוקר הפרטי יחזקאל דניאלי.</w:t>
      </w:r>
    </w:p>
    <w:p w:rsidR="0016772A" w:rsidRDefault="0016772A" w:rsidP="0016772A">
      <w:pPr>
        <w:pStyle w:val="ad"/>
        <w:spacing w:line="360" w:lineRule="auto"/>
        <w:ind w:left="-172"/>
        <w:jc w:val="both"/>
        <w:rPr>
          <w:rFonts w:ascii="David" w:hAnsi="David" w:cs="David"/>
          <w:sz w:val="24"/>
          <w:szCs w:val="24"/>
          <w:rtl/>
        </w:rPr>
      </w:pPr>
    </w:p>
    <w:p w:rsidR="0016772A" w:rsidRDefault="0016772A" w:rsidP="0016772A">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תוצאת פסק הדין והנימוקים לה</w:t>
      </w:r>
    </w:p>
    <w:p w:rsidR="0016772A" w:rsidRDefault="0016772A" w:rsidP="0016772A">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בסיומו של פסק הדין תידחה התביעה. פסק הדין יתייחס לשלושה נימוקים עיקריים שדי בכל אחד מהם על מנת להביא לדחיית התביעה, הכל כמפורט להלן:</w:t>
      </w:r>
    </w:p>
    <w:p w:rsidR="0016772A" w:rsidRDefault="0016772A" w:rsidP="0016772A">
      <w:pPr>
        <w:pStyle w:val="ad"/>
        <w:spacing w:line="360" w:lineRule="auto"/>
        <w:ind w:left="395"/>
        <w:jc w:val="both"/>
        <w:rPr>
          <w:rFonts w:ascii="David" w:hAnsi="David" w:cs="David"/>
          <w:sz w:val="24"/>
          <w:szCs w:val="24"/>
        </w:rPr>
      </w:pPr>
      <w:r>
        <w:rPr>
          <w:rFonts w:ascii="David" w:hAnsi="David" w:cs="David"/>
          <w:sz w:val="24"/>
          <w:szCs w:val="24"/>
          <w:rtl/>
        </w:rPr>
        <w:t xml:space="preserve"> </w:t>
      </w:r>
    </w:p>
    <w:p w:rsidR="0016772A" w:rsidRDefault="0016772A" w:rsidP="00DB7AA5">
      <w:pPr>
        <w:pStyle w:val="ad"/>
        <w:numPr>
          <w:ilvl w:val="0"/>
          <w:numId w:val="3"/>
        </w:numPr>
        <w:spacing w:line="360" w:lineRule="auto"/>
        <w:jc w:val="both"/>
        <w:rPr>
          <w:rFonts w:ascii="David" w:hAnsi="David" w:cs="David"/>
          <w:sz w:val="24"/>
          <w:szCs w:val="24"/>
          <w:rtl/>
        </w:rPr>
      </w:pPr>
      <w:r>
        <w:rPr>
          <w:rFonts w:ascii="David" w:hAnsi="David" w:cs="David"/>
          <w:b/>
          <w:bCs/>
          <w:sz w:val="24"/>
          <w:szCs w:val="24"/>
          <w:u w:val="single"/>
          <w:rtl/>
        </w:rPr>
        <w:t>נימוק ראשון משלושה לדחיית התביעה</w:t>
      </w:r>
      <w:r>
        <w:rPr>
          <w:rFonts w:ascii="David" w:hAnsi="David" w:cs="David"/>
          <w:sz w:val="24"/>
          <w:szCs w:val="24"/>
          <w:rtl/>
        </w:rPr>
        <w:t xml:space="preserve"> -  אין מקום לדון בטענות לזכויות מכח הדיירות המוגנת, כאשר קיים פסק דין חלוט </w:t>
      </w:r>
      <w:r w:rsidR="00DB7AA5">
        <w:rPr>
          <w:rFonts w:ascii="David" w:hAnsi="David" w:cs="David" w:hint="cs"/>
          <w:sz w:val="24"/>
          <w:szCs w:val="24"/>
          <w:rtl/>
        </w:rPr>
        <w:t>בהליך המקורי הקובע ש</w:t>
      </w:r>
      <w:r>
        <w:rPr>
          <w:rFonts w:ascii="David" w:hAnsi="David" w:cs="David"/>
          <w:sz w:val="24"/>
          <w:szCs w:val="24"/>
          <w:rtl/>
        </w:rPr>
        <w:t>זכויות אלה פקעו. על כך ארחיב בסעיף 7 להלן.</w:t>
      </w:r>
    </w:p>
    <w:p w:rsidR="0016772A" w:rsidRDefault="0016772A" w:rsidP="0016772A">
      <w:pPr>
        <w:pStyle w:val="ad"/>
        <w:spacing w:line="360" w:lineRule="auto"/>
        <w:ind w:left="755"/>
        <w:jc w:val="both"/>
        <w:rPr>
          <w:rFonts w:ascii="David" w:hAnsi="David" w:cs="David"/>
          <w:sz w:val="24"/>
          <w:szCs w:val="24"/>
        </w:rPr>
      </w:pPr>
    </w:p>
    <w:p w:rsidR="0016772A" w:rsidRDefault="0016772A" w:rsidP="00DB7AA5">
      <w:pPr>
        <w:pStyle w:val="ad"/>
        <w:numPr>
          <w:ilvl w:val="0"/>
          <w:numId w:val="3"/>
        </w:numPr>
        <w:spacing w:line="360" w:lineRule="auto"/>
        <w:jc w:val="both"/>
        <w:rPr>
          <w:rFonts w:ascii="David" w:hAnsi="David" w:cs="David"/>
          <w:sz w:val="24"/>
          <w:szCs w:val="24"/>
        </w:rPr>
      </w:pPr>
      <w:r>
        <w:rPr>
          <w:rFonts w:ascii="David" w:hAnsi="David" w:cs="David"/>
          <w:b/>
          <w:bCs/>
          <w:sz w:val="24"/>
          <w:szCs w:val="24"/>
          <w:u w:val="single"/>
          <w:rtl/>
        </w:rPr>
        <w:lastRenderedPageBreak/>
        <w:t>נימוק שני משלושה לדחיית התביעה</w:t>
      </w:r>
      <w:r>
        <w:rPr>
          <w:rFonts w:ascii="David" w:hAnsi="David" w:cs="David"/>
          <w:sz w:val="24"/>
          <w:szCs w:val="24"/>
          <w:rtl/>
        </w:rPr>
        <w:t xml:space="preserve"> - אין לקבל טענה לפיה גם עם פקיעת הזכות לדיירות מוגנת, עדיין קיימת לה זכות אחרת</w:t>
      </w:r>
      <w:r w:rsidR="00DB7AA5">
        <w:rPr>
          <w:rFonts w:ascii="David" w:hAnsi="David" w:cs="David" w:hint="cs"/>
          <w:sz w:val="24"/>
          <w:szCs w:val="24"/>
          <w:rtl/>
        </w:rPr>
        <w:t>.</w:t>
      </w:r>
      <w:r>
        <w:rPr>
          <w:rFonts w:ascii="David" w:hAnsi="David" w:cs="David"/>
          <w:sz w:val="24"/>
          <w:szCs w:val="24"/>
          <w:rtl/>
        </w:rPr>
        <w:t xml:space="preserve"> "זכות כספית" לפדיון </w:t>
      </w:r>
      <w:r w:rsidR="00DB7AA5">
        <w:rPr>
          <w:rFonts w:ascii="David" w:hAnsi="David" w:cs="David" w:hint="cs"/>
          <w:sz w:val="24"/>
          <w:szCs w:val="24"/>
          <w:rtl/>
        </w:rPr>
        <w:t xml:space="preserve">זכות הדיירות המוגנת </w:t>
      </w:r>
      <w:r>
        <w:rPr>
          <w:rFonts w:ascii="David" w:hAnsi="David" w:cs="David"/>
          <w:sz w:val="24"/>
          <w:szCs w:val="24"/>
          <w:rtl/>
        </w:rPr>
        <w:t>שכבר אינה קיימת. על כך ארחיב בסעיף 8 להלן.</w:t>
      </w:r>
    </w:p>
    <w:p w:rsidR="0016772A" w:rsidRDefault="0016772A" w:rsidP="0016772A">
      <w:pPr>
        <w:pStyle w:val="ad"/>
        <w:rPr>
          <w:rFonts w:ascii="David" w:hAnsi="David" w:cs="David"/>
          <w:sz w:val="24"/>
          <w:szCs w:val="24"/>
        </w:rPr>
      </w:pPr>
    </w:p>
    <w:p w:rsidR="0016772A" w:rsidRDefault="0016772A" w:rsidP="00242D9E">
      <w:pPr>
        <w:pStyle w:val="ad"/>
        <w:numPr>
          <w:ilvl w:val="0"/>
          <w:numId w:val="3"/>
        </w:numPr>
        <w:spacing w:line="360" w:lineRule="auto"/>
        <w:jc w:val="both"/>
        <w:rPr>
          <w:rFonts w:ascii="David" w:hAnsi="David" w:cs="David"/>
          <w:sz w:val="24"/>
          <w:szCs w:val="24"/>
          <w:rtl/>
        </w:rPr>
      </w:pPr>
      <w:r>
        <w:rPr>
          <w:rFonts w:ascii="David" w:hAnsi="David" w:cs="David"/>
          <w:b/>
          <w:bCs/>
          <w:sz w:val="24"/>
          <w:szCs w:val="24"/>
          <w:u w:val="single"/>
          <w:rtl/>
        </w:rPr>
        <w:t>נימוק שלישי משלושה לדחיית התביעה</w:t>
      </w:r>
      <w:r>
        <w:rPr>
          <w:rFonts w:ascii="David" w:hAnsi="David" w:cs="David"/>
          <w:sz w:val="24"/>
          <w:szCs w:val="24"/>
          <w:rtl/>
        </w:rPr>
        <w:t xml:space="preserve"> - אין לקבל טענות התובעת לפיהן הנתבעים </w:t>
      </w:r>
      <w:r w:rsidR="00242D9E">
        <w:rPr>
          <w:rFonts w:ascii="David" w:hAnsi="David" w:cs="David"/>
          <w:sz w:val="24"/>
          <w:szCs w:val="24"/>
          <w:rtl/>
        </w:rPr>
        <w:t>סיכלו את זכויותיה של האם המנוחה</w:t>
      </w:r>
      <w:r w:rsidR="00242D9E">
        <w:rPr>
          <w:rFonts w:ascii="David" w:hAnsi="David" w:cs="David" w:hint="cs"/>
          <w:sz w:val="24"/>
          <w:szCs w:val="24"/>
          <w:rtl/>
        </w:rPr>
        <w:t xml:space="preserve">. סיכלו </w:t>
      </w:r>
      <w:r>
        <w:rPr>
          <w:rFonts w:ascii="David" w:hAnsi="David" w:cs="David"/>
          <w:sz w:val="24"/>
          <w:szCs w:val="24"/>
          <w:rtl/>
        </w:rPr>
        <w:t>כאשר הגישו כתב הגנה והתנהלו בהליך המשפטי הקצרצר שהסתיים כאמור עם מותה, המצער, של האם המנוחה. על כך ארחיב בסעיף 9 להלן.</w:t>
      </w:r>
    </w:p>
    <w:p w:rsidR="0016772A" w:rsidRDefault="0016772A" w:rsidP="0016772A">
      <w:pPr>
        <w:pStyle w:val="ad"/>
        <w:spacing w:line="360" w:lineRule="auto"/>
        <w:ind w:left="755"/>
        <w:jc w:val="both"/>
        <w:rPr>
          <w:rFonts w:ascii="David" w:hAnsi="David" w:cs="David"/>
          <w:sz w:val="24"/>
          <w:szCs w:val="24"/>
        </w:rPr>
      </w:pPr>
    </w:p>
    <w:p w:rsidR="0016772A" w:rsidRDefault="0016772A" w:rsidP="0016772A">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במסגרת שלושת הנימוקים הנזכרים לעיל יובאו גם נימוקי משנה נוספים, הכל כאמור בחלק השלישי לפסק הדין.</w:t>
      </w:r>
    </w:p>
    <w:p w:rsidR="0016772A" w:rsidRDefault="0016772A" w:rsidP="0016772A">
      <w:pPr>
        <w:pStyle w:val="ad"/>
        <w:spacing w:line="360" w:lineRule="auto"/>
        <w:ind w:left="-172"/>
        <w:jc w:val="both"/>
        <w:rPr>
          <w:rFonts w:ascii="David" w:hAnsi="David" w:cs="David"/>
          <w:sz w:val="24"/>
          <w:szCs w:val="24"/>
        </w:rPr>
      </w:pPr>
    </w:p>
    <w:p w:rsidR="0016772A" w:rsidRDefault="0016772A" w:rsidP="0016772A">
      <w:pPr>
        <w:pStyle w:val="ad"/>
        <w:spacing w:line="360" w:lineRule="auto"/>
        <w:ind w:left="-739"/>
        <w:jc w:val="both"/>
        <w:rPr>
          <w:rFonts w:ascii="David" w:hAnsi="David" w:cs="David"/>
          <w:b/>
          <w:bCs/>
          <w:sz w:val="24"/>
          <w:szCs w:val="24"/>
          <w:u w:val="single"/>
        </w:rPr>
      </w:pPr>
      <w:r>
        <w:rPr>
          <w:rFonts w:ascii="David" w:hAnsi="David" w:cs="David"/>
          <w:b/>
          <w:bCs/>
          <w:sz w:val="28"/>
          <w:szCs w:val="28"/>
          <w:u w:val="single"/>
          <w:rtl/>
        </w:rPr>
        <w:t>חלק שני – תמצית טענות הצדדים</w:t>
      </w:r>
    </w:p>
    <w:p w:rsidR="0016772A" w:rsidRDefault="0016772A" w:rsidP="0016772A">
      <w:pPr>
        <w:pStyle w:val="ad"/>
        <w:numPr>
          <w:ilvl w:val="0"/>
          <w:numId w:val="1"/>
        </w:numPr>
        <w:spacing w:line="360" w:lineRule="auto"/>
        <w:ind w:left="-172" w:hanging="284"/>
        <w:jc w:val="both"/>
        <w:rPr>
          <w:rFonts w:ascii="David" w:hAnsi="David" w:cs="David"/>
          <w:sz w:val="24"/>
          <w:szCs w:val="24"/>
          <w:rtl/>
        </w:rPr>
      </w:pPr>
      <w:r>
        <w:rPr>
          <w:rFonts w:ascii="David" w:hAnsi="David" w:cs="David"/>
          <w:b/>
          <w:bCs/>
          <w:sz w:val="24"/>
          <w:szCs w:val="24"/>
          <w:u w:val="single"/>
          <w:rtl/>
        </w:rPr>
        <w:t>תמצית טענות התובעת</w:t>
      </w:r>
    </w:p>
    <w:p w:rsidR="0016772A" w:rsidRDefault="0016772A" w:rsidP="00242D9E">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התובעת ציינה שאמה היתה דיירת מוגנת בדירה בעיר תל אביב וזאת במשך שבעים שנים – משנת 1950-1951 ועד לפטירתה</w:t>
      </w:r>
      <w:r w:rsidR="00242D9E">
        <w:rPr>
          <w:rFonts w:ascii="David" w:hAnsi="David" w:cs="David" w:hint="cs"/>
          <w:sz w:val="24"/>
          <w:szCs w:val="24"/>
          <w:rtl/>
        </w:rPr>
        <w:t xml:space="preserve"> ביום 18/6/2021 כשהיא </w:t>
      </w:r>
      <w:r>
        <w:rPr>
          <w:rFonts w:ascii="David" w:hAnsi="David" w:cs="David"/>
          <w:sz w:val="24"/>
          <w:szCs w:val="24"/>
          <w:rtl/>
        </w:rPr>
        <w:t>בשנות התשעים לחייה. כאשר הגיעה האם המנוחה לגיל 93, ביקשה להעביר את זכויות הדיירות המוגנת ולעבור למגורים בבית אבות. האם המנוחה</w:t>
      </w:r>
      <w:r w:rsidR="00242D9E">
        <w:rPr>
          <w:rFonts w:ascii="David" w:hAnsi="David" w:cs="David" w:hint="cs"/>
          <w:sz w:val="24"/>
          <w:szCs w:val="24"/>
          <w:rtl/>
        </w:rPr>
        <w:t xml:space="preserve"> העבירה</w:t>
      </w:r>
      <w:r>
        <w:rPr>
          <w:rFonts w:ascii="David" w:hAnsi="David" w:cs="David"/>
          <w:sz w:val="24"/>
          <w:szCs w:val="24"/>
          <w:rtl/>
        </w:rPr>
        <w:t xml:space="preserve"> אל הנתבעים, בעלי הזכויות בדירת המגורים</w:t>
      </w:r>
      <w:r w:rsidR="00242D9E">
        <w:rPr>
          <w:rFonts w:ascii="David" w:hAnsi="David" w:cs="David" w:hint="cs"/>
          <w:sz w:val="24"/>
          <w:szCs w:val="24"/>
          <w:rtl/>
        </w:rPr>
        <w:t>,</w:t>
      </w:r>
      <w:r>
        <w:rPr>
          <w:rFonts w:ascii="David" w:hAnsi="David" w:cs="David"/>
          <w:sz w:val="24"/>
          <w:szCs w:val="24"/>
          <w:rtl/>
        </w:rPr>
        <w:t xml:space="preserve"> תצהיר שלה כ"דיירת יוצאת" ותצהירים של</w:t>
      </w:r>
      <w:r w:rsidR="00242D9E">
        <w:rPr>
          <w:rFonts w:ascii="David" w:hAnsi="David" w:cs="David" w:hint="cs"/>
          <w:sz w:val="24"/>
          <w:szCs w:val="24"/>
          <w:rtl/>
        </w:rPr>
        <w:t xml:space="preserve"> ה"ה </w:t>
      </w:r>
      <w:r>
        <w:rPr>
          <w:rFonts w:ascii="David" w:hAnsi="David" w:cs="David"/>
          <w:sz w:val="24"/>
          <w:szCs w:val="24"/>
          <w:rtl/>
        </w:rPr>
        <w:t>מירב ואוריאל ברנדלר כ"דיירים נכנסים"</w:t>
      </w:r>
      <w:r w:rsidR="00242D9E">
        <w:rPr>
          <w:rFonts w:ascii="David" w:hAnsi="David" w:cs="David" w:hint="cs"/>
          <w:sz w:val="24"/>
          <w:szCs w:val="24"/>
          <w:rtl/>
        </w:rPr>
        <w:t xml:space="preserve"> </w:t>
      </w:r>
      <w:r>
        <w:rPr>
          <w:rFonts w:ascii="David" w:hAnsi="David" w:cs="David"/>
          <w:sz w:val="24"/>
          <w:szCs w:val="24"/>
          <w:rtl/>
        </w:rPr>
        <w:t>(להלן:</w:t>
      </w:r>
      <w:r w:rsidR="00242D9E">
        <w:rPr>
          <w:rFonts w:ascii="David" w:hAnsi="David" w:cs="David" w:hint="cs"/>
          <w:b/>
          <w:bCs/>
          <w:sz w:val="24"/>
          <w:szCs w:val="24"/>
          <w:rtl/>
        </w:rPr>
        <w:t xml:space="preserve"> </w:t>
      </w:r>
      <w:r>
        <w:rPr>
          <w:rFonts w:ascii="David" w:hAnsi="David" w:cs="David"/>
          <w:b/>
          <w:bCs/>
          <w:sz w:val="24"/>
          <w:szCs w:val="24"/>
          <w:rtl/>
        </w:rPr>
        <w:t>"הדיירים המוצעים"</w:t>
      </w:r>
      <w:r>
        <w:rPr>
          <w:rFonts w:ascii="David" w:hAnsi="David" w:cs="David"/>
          <w:sz w:val="24"/>
          <w:szCs w:val="24"/>
          <w:rtl/>
        </w:rPr>
        <w:t>).</w:t>
      </w:r>
    </w:p>
    <w:p w:rsidR="0016772A" w:rsidRDefault="0016772A" w:rsidP="0016772A">
      <w:pPr>
        <w:pStyle w:val="ad"/>
        <w:spacing w:line="360" w:lineRule="auto"/>
        <w:ind w:left="395"/>
        <w:jc w:val="both"/>
        <w:rPr>
          <w:rFonts w:ascii="David" w:hAnsi="David" w:cs="David"/>
          <w:sz w:val="24"/>
          <w:szCs w:val="24"/>
        </w:rPr>
      </w:pPr>
    </w:p>
    <w:p w:rsidR="0016772A" w:rsidRDefault="0016772A" w:rsidP="0016772A">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 xml:space="preserve">הפניה אל הנתבעים נעשתה ביום 29/9/2020. האם המנוחה </w:t>
      </w:r>
      <w:r>
        <w:rPr>
          <w:rFonts w:ascii="David" w:hAnsi="David" w:cs="David"/>
          <w:sz w:val="24"/>
          <w:szCs w:val="24"/>
          <w:u w:val="single"/>
          <w:rtl/>
        </w:rPr>
        <w:t>בשני הליכים</w:t>
      </w:r>
      <w:r>
        <w:rPr>
          <w:rFonts w:ascii="David" w:hAnsi="David" w:cs="David"/>
          <w:sz w:val="24"/>
          <w:szCs w:val="24"/>
          <w:rtl/>
        </w:rPr>
        <w:t xml:space="preserve">, הליך אחר הליך, לצורך אישור העברת זכויות הדיירות המוגנת. </w:t>
      </w:r>
      <w:r>
        <w:rPr>
          <w:rFonts w:ascii="David" w:hAnsi="David" w:cs="David"/>
          <w:sz w:val="24"/>
          <w:szCs w:val="24"/>
          <w:u w:val="single"/>
          <w:rtl/>
        </w:rPr>
        <w:t>הליך אחד</w:t>
      </w:r>
      <w:r>
        <w:rPr>
          <w:rFonts w:ascii="David" w:hAnsi="David" w:cs="David"/>
          <w:sz w:val="24"/>
          <w:szCs w:val="24"/>
          <w:rtl/>
        </w:rPr>
        <w:t xml:space="preserve"> שנמחק, מכיוון שלא כללה בתוכו את הנתבעים וכנטען אף לא העבירה אליהם את תצהירי הדיירים המוצעים; </w:t>
      </w:r>
      <w:r>
        <w:rPr>
          <w:rFonts w:ascii="David" w:hAnsi="David" w:cs="David"/>
          <w:sz w:val="24"/>
          <w:szCs w:val="24"/>
          <w:u w:val="single"/>
          <w:rtl/>
        </w:rPr>
        <w:t>הליך שני</w:t>
      </w:r>
      <w:r>
        <w:rPr>
          <w:rFonts w:ascii="David" w:hAnsi="David" w:cs="David"/>
          <w:sz w:val="24"/>
          <w:szCs w:val="24"/>
          <w:rtl/>
        </w:rPr>
        <w:t xml:space="preserve"> שנמחק עם פטירת האם המנוחה. שני ההליכים הם כדלקמן:</w:t>
      </w:r>
    </w:p>
    <w:p w:rsidR="0016772A" w:rsidRDefault="0016772A" w:rsidP="0016772A">
      <w:pPr>
        <w:pStyle w:val="ad"/>
        <w:rPr>
          <w:rFonts w:ascii="David" w:hAnsi="David" w:cs="David"/>
          <w:sz w:val="24"/>
          <w:szCs w:val="24"/>
        </w:rPr>
      </w:pPr>
    </w:p>
    <w:p w:rsidR="0016772A" w:rsidRDefault="0016772A" w:rsidP="0016772A">
      <w:pPr>
        <w:pStyle w:val="ad"/>
        <w:numPr>
          <w:ilvl w:val="0"/>
          <w:numId w:val="4"/>
        </w:numPr>
        <w:spacing w:line="360" w:lineRule="auto"/>
        <w:jc w:val="both"/>
        <w:rPr>
          <w:rFonts w:ascii="David" w:hAnsi="David" w:cs="David"/>
          <w:sz w:val="24"/>
          <w:szCs w:val="24"/>
          <w:rtl/>
        </w:rPr>
      </w:pPr>
      <w:r>
        <w:rPr>
          <w:rFonts w:ascii="David" w:hAnsi="David" w:cs="David"/>
          <w:b/>
          <w:bCs/>
          <w:sz w:val="24"/>
          <w:szCs w:val="24"/>
          <w:u w:val="single"/>
          <w:rtl/>
        </w:rPr>
        <w:t>הליך ראשון בתביעה של האם המנוחה שכלל לא הוגשה כנגד הנתבעים ומכאן נמחקה</w:t>
      </w:r>
      <w:r>
        <w:rPr>
          <w:rFonts w:ascii="David" w:hAnsi="David" w:cs="David"/>
          <w:sz w:val="24"/>
          <w:szCs w:val="24"/>
          <w:rtl/>
        </w:rPr>
        <w:t xml:space="preserve"> – האם המנוחה פנתה בחודש ינואר 2021 בבקשה לאשר את חילופי הדיירים. הפניה נערכה במסגרת תש 11901-01-21, </w:t>
      </w:r>
      <w:r>
        <w:rPr>
          <w:rFonts w:ascii="David" w:hAnsi="David" w:cs="David"/>
          <w:sz w:val="24"/>
          <w:szCs w:val="24"/>
          <w:u w:val="single"/>
          <w:rtl/>
        </w:rPr>
        <w:t>שרה ברודרזון נגד אליהו ספיר 10 בע"מ</w:t>
      </w:r>
      <w:r>
        <w:rPr>
          <w:rFonts w:ascii="David" w:hAnsi="David" w:cs="David"/>
          <w:sz w:val="24"/>
          <w:szCs w:val="24"/>
          <w:rtl/>
        </w:rPr>
        <w:t xml:space="preserve">. ההליך נפתח </w:t>
      </w:r>
      <w:r>
        <w:rPr>
          <w:rFonts w:ascii="David" w:hAnsi="David" w:cs="David"/>
          <w:sz w:val="24"/>
          <w:szCs w:val="24"/>
          <w:u w:val="single"/>
          <w:rtl/>
        </w:rPr>
        <w:t>מבלי לצרף את הנתבעים כמשיבים</w:t>
      </w:r>
      <w:r>
        <w:rPr>
          <w:rFonts w:ascii="David" w:hAnsi="David" w:cs="David"/>
          <w:sz w:val="24"/>
          <w:szCs w:val="24"/>
          <w:rtl/>
        </w:rPr>
        <w:t xml:space="preserve"> ומכאן נמחק בפסק דין שניתן ע"י כב' הש' ע' יריב כבר בדיון ראשון בהליך. בפסק הדין בו נמחק ההליך הובהר כי המחיקה היא </w:t>
      </w:r>
      <w:r>
        <w:rPr>
          <w:rFonts w:ascii="David" w:hAnsi="David" w:cs="David"/>
          <w:b/>
          <w:bCs/>
          <w:sz w:val="24"/>
          <w:szCs w:val="24"/>
          <w:rtl/>
        </w:rPr>
        <w:t>"משהוברר כי הנתבעת אינה בעלת הבית כהגדרת מונח זה"</w:t>
      </w:r>
      <w:r>
        <w:rPr>
          <w:rFonts w:ascii="David" w:hAnsi="David" w:cs="David"/>
          <w:sz w:val="24"/>
          <w:szCs w:val="24"/>
          <w:rtl/>
        </w:rPr>
        <w:t xml:space="preserve">. </w:t>
      </w:r>
    </w:p>
    <w:p w:rsidR="0016772A" w:rsidRDefault="0016772A" w:rsidP="0016772A">
      <w:pPr>
        <w:pStyle w:val="ad"/>
        <w:spacing w:line="360" w:lineRule="auto"/>
        <w:ind w:left="755"/>
        <w:jc w:val="both"/>
        <w:rPr>
          <w:rFonts w:ascii="David" w:hAnsi="David" w:cs="David"/>
          <w:sz w:val="24"/>
          <w:szCs w:val="24"/>
        </w:rPr>
      </w:pPr>
    </w:p>
    <w:p w:rsidR="0016772A" w:rsidRDefault="0016772A" w:rsidP="0016772A">
      <w:pPr>
        <w:pStyle w:val="ad"/>
        <w:numPr>
          <w:ilvl w:val="0"/>
          <w:numId w:val="4"/>
        </w:numPr>
        <w:spacing w:line="360" w:lineRule="auto"/>
        <w:jc w:val="both"/>
        <w:rPr>
          <w:rFonts w:ascii="David" w:hAnsi="David" w:cs="David"/>
          <w:sz w:val="24"/>
          <w:szCs w:val="24"/>
        </w:rPr>
      </w:pPr>
      <w:r>
        <w:rPr>
          <w:rFonts w:ascii="David" w:hAnsi="David" w:cs="David"/>
          <w:b/>
          <w:bCs/>
          <w:sz w:val="24"/>
          <w:szCs w:val="24"/>
          <w:u w:val="single"/>
          <w:rtl/>
        </w:rPr>
        <w:t>הליך שני, אשר הפעם הוגש כנגד הנתבעים (להלן: "התיק המקורי")</w:t>
      </w:r>
      <w:r>
        <w:rPr>
          <w:rFonts w:ascii="David" w:hAnsi="David" w:cs="David"/>
          <w:sz w:val="24"/>
          <w:szCs w:val="24"/>
          <w:rtl/>
        </w:rPr>
        <w:t xml:space="preserve"> – כחודש מאוחר יותר לפסק הדין שמחק את תביעת האם המנוחה הוגש ביום 20/4/2021 הליך נוסף לאישור הדיירים המוצעים, כנגד תשלום הסך של 1,500,000 ₪ לנתבעים. הפעם נעשתה התביעה </w:t>
      </w:r>
      <w:r>
        <w:rPr>
          <w:rFonts w:ascii="David" w:hAnsi="David" w:cs="David"/>
          <w:sz w:val="24"/>
          <w:szCs w:val="24"/>
          <w:rtl/>
        </w:rPr>
        <w:lastRenderedPageBreak/>
        <w:t xml:space="preserve">במסגרת ת"ש 40529-04-21 – שיכונה כאמור: </w:t>
      </w:r>
      <w:r>
        <w:rPr>
          <w:rFonts w:ascii="David" w:hAnsi="David" w:cs="David"/>
          <w:b/>
          <w:bCs/>
          <w:sz w:val="24"/>
          <w:szCs w:val="24"/>
          <w:rtl/>
        </w:rPr>
        <w:t>"התיק המקורי"</w:t>
      </w:r>
      <w:r>
        <w:rPr>
          <w:rFonts w:ascii="David" w:hAnsi="David" w:cs="David"/>
          <w:sz w:val="24"/>
          <w:szCs w:val="24"/>
          <w:rtl/>
        </w:rPr>
        <w:t>. להשלמה ייאמר שהנתבעים טענו שתצהירי הדיירים המוצעים הועברו אליהם רק לאחר מחיקת ההליך הראשון שהוגש במסגרת תש 11901-01-21.</w:t>
      </w:r>
    </w:p>
    <w:p w:rsidR="0016772A" w:rsidRDefault="0016772A" w:rsidP="0016772A">
      <w:pPr>
        <w:pStyle w:val="ad"/>
        <w:spacing w:line="360" w:lineRule="auto"/>
        <w:ind w:left="755"/>
        <w:jc w:val="both"/>
        <w:rPr>
          <w:rFonts w:ascii="David" w:hAnsi="David" w:cs="David"/>
          <w:sz w:val="24"/>
          <w:szCs w:val="24"/>
        </w:rPr>
      </w:pPr>
    </w:p>
    <w:p w:rsidR="0016772A" w:rsidRDefault="0016772A" w:rsidP="0016772A">
      <w:pPr>
        <w:pStyle w:val="ad"/>
        <w:numPr>
          <w:ilvl w:val="1"/>
          <w:numId w:val="1"/>
        </w:numPr>
        <w:spacing w:line="360" w:lineRule="auto"/>
        <w:ind w:left="395" w:hanging="567"/>
        <w:jc w:val="both"/>
        <w:rPr>
          <w:rFonts w:ascii="David" w:hAnsi="David" w:cs="David"/>
          <w:sz w:val="24"/>
          <w:szCs w:val="24"/>
          <w:rtl/>
        </w:rPr>
      </w:pPr>
      <w:r>
        <w:rPr>
          <w:rFonts w:ascii="David" w:hAnsi="David" w:cs="David"/>
          <w:b/>
          <w:bCs/>
          <w:sz w:val="24"/>
          <w:szCs w:val="24"/>
          <w:u w:val="single"/>
          <w:rtl/>
        </w:rPr>
        <w:t>החלטה בתיק המקורי מיום 15/6/2021</w:t>
      </w:r>
      <w:r>
        <w:rPr>
          <w:rFonts w:ascii="David" w:hAnsi="David" w:cs="David"/>
          <w:sz w:val="24"/>
          <w:szCs w:val="24"/>
          <w:rtl/>
        </w:rPr>
        <w:t xml:space="preserve"> - ביום 15/6/2021 התקיים דיון בתיק המקורי בפני כב' הש' ע' יריב. במסגרת הדיון נחקרו הדיירים המוצעים ונקבע כך: </w:t>
      </w:r>
      <w:r>
        <w:rPr>
          <w:rFonts w:ascii="David" w:hAnsi="David" w:cs="David"/>
          <w:b/>
          <w:bCs/>
          <w:sz w:val="24"/>
          <w:szCs w:val="24"/>
          <w:rtl/>
        </w:rPr>
        <w:t>"לאחר שנחקרו הדיירים המוצעים ובטרם נתקדם בהליך, אני מורה לדיירים המוצעים להפקיד את דמי המפתח המלאים בסך 1,500,000 ₪ בקופת בית המשפט וזאת לא יאוחר מיום 15.07.2021"</w:t>
      </w:r>
      <w:r>
        <w:rPr>
          <w:rFonts w:ascii="David" w:hAnsi="David" w:cs="David"/>
          <w:sz w:val="24"/>
          <w:szCs w:val="24"/>
          <w:rtl/>
        </w:rPr>
        <w:t xml:space="preserve">. החלטה זו, אשר הדגישה שהיא </w:t>
      </w:r>
      <w:r>
        <w:rPr>
          <w:rFonts w:ascii="David" w:hAnsi="David" w:cs="David"/>
          <w:b/>
          <w:bCs/>
          <w:sz w:val="24"/>
          <w:szCs w:val="24"/>
          <w:rtl/>
        </w:rPr>
        <w:t>"בטרם נתקדם בהליך"</w:t>
      </w:r>
      <w:r>
        <w:rPr>
          <w:rFonts w:ascii="David" w:hAnsi="David" w:cs="David"/>
          <w:sz w:val="24"/>
          <w:szCs w:val="24"/>
          <w:rtl/>
        </w:rPr>
        <w:t xml:space="preserve"> – מפורשת כעת על ידי התובעת כאישור לדיירים המוצעים "לגור בדירה כדיירים מוגנים" (סעיף 8.7 לכתב התביעה). הדיון אמור היה להיות הדיון הראשון בתיק המקורי אך בפועל היה זה הדיון היחיד, שכם האם המנוחה נפטרה שלושה ימים מאוחר יותר. על כך בפסקה הבאה.</w:t>
      </w:r>
    </w:p>
    <w:p w:rsidR="0016772A" w:rsidRDefault="0016772A" w:rsidP="0016772A">
      <w:pPr>
        <w:pStyle w:val="ad"/>
        <w:rPr>
          <w:rFonts w:ascii="David" w:hAnsi="David" w:cs="David"/>
          <w:sz w:val="24"/>
          <w:szCs w:val="24"/>
        </w:rPr>
      </w:pPr>
    </w:p>
    <w:p w:rsidR="0016772A" w:rsidRDefault="0016772A" w:rsidP="0016772A">
      <w:pPr>
        <w:pStyle w:val="ad"/>
        <w:numPr>
          <w:ilvl w:val="1"/>
          <w:numId w:val="1"/>
        </w:numPr>
        <w:spacing w:line="360" w:lineRule="auto"/>
        <w:ind w:left="395" w:hanging="567"/>
        <w:jc w:val="both"/>
        <w:rPr>
          <w:rFonts w:ascii="David" w:hAnsi="David" w:cs="David"/>
          <w:sz w:val="24"/>
          <w:szCs w:val="24"/>
          <w:rtl/>
        </w:rPr>
      </w:pPr>
      <w:r>
        <w:rPr>
          <w:rFonts w:ascii="David" w:hAnsi="David" w:cs="David"/>
          <w:b/>
          <w:bCs/>
          <w:sz w:val="24"/>
          <w:szCs w:val="24"/>
          <w:u w:val="single"/>
          <w:rtl/>
        </w:rPr>
        <w:t>פטירתה של האם המנוחה שלושה ימים מאוחר לדיון, ביום 18/6/2021 ופסק הדין בתיק המקורי מיום 12/7/2021</w:t>
      </w:r>
      <w:r>
        <w:rPr>
          <w:rFonts w:ascii="David" w:hAnsi="David" w:cs="David"/>
          <w:b/>
          <w:bCs/>
          <w:sz w:val="24"/>
          <w:szCs w:val="24"/>
          <w:rtl/>
        </w:rPr>
        <w:t xml:space="preserve"> </w:t>
      </w:r>
      <w:r>
        <w:rPr>
          <w:rFonts w:ascii="David" w:hAnsi="David" w:cs="David"/>
          <w:sz w:val="24"/>
          <w:szCs w:val="24"/>
          <w:rtl/>
        </w:rPr>
        <w:t>– ביום 18/6/2021 נפטרה האם המנוחה. כחודש לאחר מכן וביום 12/7/2021 ניתן פסק דין בתיק המקורי לפיו עם פטירתה של האם המנוחה פקעו זכויות הדיירות המוגנת, וכלשון פסק הדין:</w:t>
      </w:r>
    </w:p>
    <w:p w:rsidR="0016772A" w:rsidRDefault="0016772A" w:rsidP="0016772A">
      <w:pPr>
        <w:pStyle w:val="ad"/>
        <w:spacing w:line="360" w:lineRule="auto"/>
        <w:ind w:left="1103"/>
        <w:jc w:val="both"/>
        <w:rPr>
          <w:rFonts w:ascii="David" w:hAnsi="David" w:cs="David"/>
          <w:b/>
          <w:bCs/>
          <w:sz w:val="24"/>
          <w:szCs w:val="24"/>
        </w:rPr>
      </w:pPr>
      <w:r>
        <w:rPr>
          <w:rFonts w:ascii="David" w:hAnsi="David" w:cs="David"/>
          <w:b/>
          <w:bCs/>
          <w:sz w:val="24"/>
          <w:szCs w:val="24"/>
          <w:rtl/>
        </w:rPr>
        <w:t>"תנחומי בית המשפט למשפחתה של המנוחה. עם פטירתה של המנוחה פוקעות זכויותיה כדיירת מוגנת, בכפוף להוראות חוק הגנת הדייר [נוסח משולב] תשל"ב-1972. משכך, אין עוד תוחלת להליך זה ואני מורה על מחיקת התביעה. בנסיבות הענין, לא יהיה צו להוצאות"</w:t>
      </w:r>
    </w:p>
    <w:p w:rsidR="00242D9E" w:rsidRDefault="00242D9E" w:rsidP="0016772A">
      <w:pPr>
        <w:pStyle w:val="ad"/>
        <w:spacing w:line="360" w:lineRule="auto"/>
        <w:ind w:left="395"/>
        <w:jc w:val="both"/>
        <w:rPr>
          <w:rFonts w:ascii="David" w:hAnsi="David" w:cs="David"/>
          <w:sz w:val="24"/>
          <w:szCs w:val="24"/>
          <w:rtl/>
        </w:rPr>
      </w:pPr>
    </w:p>
    <w:p w:rsidR="0016772A" w:rsidRDefault="0016772A" w:rsidP="0016772A">
      <w:pPr>
        <w:pStyle w:val="ad"/>
        <w:spacing w:line="360" w:lineRule="auto"/>
        <w:ind w:left="395"/>
        <w:jc w:val="both"/>
        <w:rPr>
          <w:rFonts w:ascii="David" w:hAnsi="David" w:cs="David"/>
          <w:sz w:val="24"/>
          <w:szCs w:val="24"/>
          <w:rtl/>
        </w:rPr>
      </w:pPr>
      <w:r>
        <w:rPr>
          <w:rFonts w:ascii="David" w:hAnsi="David" w:cs="David"/>
          <w:sz w:val="24"/>
          <w:szCs w:val="24"/>
          <w:rtl/>
        </w:rPr>
        <w:t>התובעת טוענת שלמרות פקיעת זכויות הדיירות המוגנת, הרי עדיין היא זכאית לתשלום – ועל כך בפסקה הבאה.</w:t>
      </w:r>
    </w:p>
    <w:p w:rsidR="0016772A" w:rsidRDefault="0016772A" w:rsidP="0016772A">
      <w:pPr>
        <w:pStyle w:val="ad"/>
        <w:spacing w:line="360" w:lineRule="auto"/>
        <w:ind w:left="395"/>
        <w:jc w:val="both"/>
        <w:rPr>
          <w:rFonts w:ascii="David" w:hAnsi="David" w:cs="David"/>
          <w:sz w:val="24"/>
          <w:szCs w:val="24"/>
          <w:rtl/>
        </w:rPr>
      </w:pPr>
    </w:p>
    <w:p w:rsidR="0016772A" w:rsidRDefault="0016772A" w:rsidP="0016772A">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לטענת התובעת, בהתאם להחלטת בית המשפט בתיק המקורי מיום 15/6/2021 (סעיף 4.3 לעיל) אושרו כבר הדיירים המוצעים. עוד מוסיפה התובעת שהזכות </w:t>
      </w:r>
      <w:r>
        <w:rPr>
          <w:rFonts w:ascii="David" w:hAnsi="David" w:cs="David"/>
          <w:b/>
          <w:bCs/>
          <w:sz w:val="24"/>
          <w:szCs w:val="24"/>
          <w:rtl/>
        </w:rPr>
        <w:t>"להחזיק בדירה"</w:t>
      </w:r>
      <w:r>
        <w:rPr>
          <w:rFonts w:ascii="David" w:hAnsi="David" w:cs="David"/>
          <w:sz w:val="24"/>
          <w:szCs w:val="24"/>
          <w:rtl/>
        </w:rPr>
        <w:t xml:space="preserve"> אכן פקעה ואולם קיימת זכות אחרת, היא </w:t>
      </w:r>
      <w:r>
        <w:rPr>
          <w:rFonts w:ascii="David" w:hAnsi="David" w:cs="David"/>
          <w:b/>
          <w:bCs/>
          <w:sz w:val="24"/>
          <w:szCs w:val="24"/>
          <w:rtl/>
        </w:rPr>
        <w:t>"הזכות הכספית"</w:t>
      </w:r>
      <w:r>
        <w:rPr>
          <w:rFonts w:ascii="David" w:hAnsi="David" w:cs="David"/>
          <w:sz w:val="24"/>
          <w:szCs w:val="24"/>
          <w:rtl/>
        </w:rPr>
        <w:t xml:space="preserve"> (כהגדרת התובעת, בסעיף 8.10 לכתב התביעה). התובעת עותרת לחייב את הנתבעים בתשלום הסך של 1,000,000 ₪ שהם שני שלישים מהסך של 1,500,000 ₪ שהיו משלמים הדיירים המוצעים.</w:t>
      </w:r>
    </w:p>
    <w:p w:rsidR="0016772A" w:rsidRDefault="0016772A" w:rsidP="0016772A">
      <w:pPr>
        <w:pStyle w:val="ad"/>
        <w:spacing w:line="360" w:lineRule="auto"/>
        <w:ind w:left="395"/>
        <w:jc w:val="both"/>
        <w:rPr>
          <w:rFonts w:ascii="David" w:hAnsi="David" w:cs="David"/>
          <w:sz w:val="24"/>
          <w:szCs w:val="24"/>
        </w:rPr>
      </w:pPr>
    </w:p>
    <w:p w:rsidR="0016772A" w:rsidRDefault="0016772A" w:rsidP="0016772A">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 xml:space="preserve">מכאן התביעה בה טוענת התובעת לכך שההתנגדות של הנתבעים להעברת הדיירות המוגנת היתה </w:t>
      </w:r>
      <w:r>
        <w:rPr>
          <w:rFonts w:ascii="David" w:hAnsi="David" w:cs="David"/>
          <w:b/>
          <w:bCs/>
          <w:sz w:val="24"/>
          <w:szCs w:val="24"/>
          <w:rtl/>
        </w:rPr>
        <w:t>"ממניעי בצע כסף"</w:t>
      </w:r>
      <w:r>
        <w:rPr>
          <w:rFonts w:ascii="David" w:hAnsi="David" w:cs="David"/>
          <w:sz w:val="24"/>
          <w:szCs w:val="24"/>
          <w:rtl/>
        </w:rPr>
        <w:t xml:space="preserve">, טוענת להתנהלות בחוסר תום לב ובהעלאת טענות בלתי ראויות. עוד מוסיפה התובעת כי </w:t>
      </w:r>
      <w:r>
        <w:rPr>
          <w:rFonts w:ascii="David" w:hAnsi="David" w:cs="David"/>
          <w:b/>
          <w:bCs/>
          <w:sz w:val="24"/>
          <w:szCs w:val="24"/>
          <w:rtl/>
        </w:rPr>
        <w:t>"אין זה ראוי ומאוד לא צודק למנוע מעזבון המנוחה ומיורשתה את הזכות הכספית שעמדה למנוחה בטרם פטירתה".</w:t>
      </w:r>
    </w:p>
    <w:p w:rsidR="0016772A" w:rsidRDefault="0016772A" w:rsidP="0016772A">
      <w:pPr>
        <w:pStyle w:val="ad"/>
        <w:spacing w:line="360" w:lineRule="auto"/>
        <w:ind w:left="-739"/>
        <w:jc w:val="both"/>
        <w:rPr>
          <w:rFonts w:ascii="David" w:hAnsi="David" w:cs="David"/>
          <w:b/>
          <w:bCs/>
          <w:sz w:val="24"/>
          <w:szCs w:val="24"/>
          <w:u w:val="single"/>
        </w:rPr>
      </w:pPr>
    </w:p>
    <w:p w:rsidR="0016772A" w:rsidRDefault="0016772A" w:rsidP="0016772A">
      <w:pPr>
        <w:pStyle w:val="ad"/>
        <w:numPr>
          <w:ilvl w:val="0"/>
          <w:numId w:val="1"/>
        </w:numPr>
        <w:spacing w:line="360" w:lineRule="auto"/>
        <w:ind w:left="-172" w:hanging="284"/>
        <w:jc w:val="both"/>
        <w:rPr>
          <w:rFonts w:ascii="David" w:hAnsi="David" w:cs="David"/>
          <w:sz w:val="24"/>
          <w:szCs w:val="24"/>
          <w:rtl/>
        </w:rPr>
      </w:pPr>
      <w:r>
        <w:rPr>
          <w:rFonts w:ascii="David" w:hAnsi="David" w:cs="David"/>
          <w:b/>
          <w:bCs/>
          <w:sz w:val="24"/>
          <w:szCs w:val="24"/>
          <w:u w:val="single"/>
          <w:rtl/>
        </w:rPr>
        <w:lastRenderedPageBreak/>
        <w:t>תמצית טענות הנתבעים 1-5 (הנתבע 6 לא הגיש כתב הגנה, אך לא ניתן פסק דין בעניינו)</w:t>
      </w:r>
    </w:p>
    <w:p w:rsidR="0016772A" w:rsidRDefault="0016772A" w:rsidP="0016772A">
      <w:pPr>
        <w:pStyle w:val="ad"/>
        <w:spacing w:line="360" w:lineRule="auto"/>
        <w:ind w:left="-172"/>
        <w:jc w:val="both"/>
        <w:rPr>
          <w:rFonts w:ascii="David" w:hAnsi="David" w:cs="David"/>
          <w:sz w:val="24"/>
          <w:szCs w:val="24"/>
        </w:rPr>
      </w:pPr>
    </w:p>
    <w:p w:rsidR="00FD754C" w:rsidRDefault="0016772A" w:rsidP="00FD754C">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על כך שהנתבע 6 לא הגיש כתב הגנה, אך לא נעתרתי לבקשה למתן פסק דין מוקדם בעניינו</w:t>
      </w:r>
    </w:p>
    <w:p w:rsidR="0016772A" w:rsidRDefault="0016772A" w:rsidP="00FD754C">
      <w:pPr>
        <w:pStyle w:val="ad"/>
        <w:spacing w:line="360" w:lineRule="auto"/>
        <w:ind w:left="395"/>
        <w:jc w:val="both"/>
        <w:rPr>
          <w:rFonts w:ascii="David" w:hAnsi="David" w:cs="David"/>
          <w:sz w:val="24"/>
          <w:szCs w:val="24"/>
        </w:rPr>
      </w:pPr>
      <w:r>
        <w:rPr>
          <w:rFonts w:ascii="David" w:hAnsi="David" w:cs="David"/>
          <w:sz w:val="24"/>
          <w:szCs w:val="24"/>
          <w:rtl/>
        </w:rPr>
        <w:t>הנתבעים 1-5 הגישו כתב הגנה, אלי</w:t>
      </w:r>
      <w:r w:rsidR="00FD754C">
        <w:rPr>
          <w:rFonts w:ascii="David" w:hAnsi="David" w:cs="David"/>
          <w:sz w:val="24"/>
          <w:szCs w:val="24"/>
          <w:rtl/>
        </w:rPr>
        <w:t xml:space="preserve">ו אתייחס בפסקאות הבאות. </w:t>
      </w:r>
      <w:r w:rsidR="00FD754C">
        <w:rPr>
          <w:rFonts w:ascii="David" w:hAnsi="David" w:cs="David" w:hint="cs"/>
          <w:sz w:val="24"/>
          <w:szCs w:val="24"/>
          <w:rtl/>
        </w:rPr>
        <w:t xml:space="preserve">לעומתם, לא הגיש </w:t>
      </w:r>
      <w:r>
        <w:rPr>
          <w:rFonts w:ascii="David" w:hAnsi="David" w:cs="David"/>
          <w:sz w:val="24"/>
          <w:szCs w:val="24"/>
          <w:rtl/>
        </w:rPr>
        <w:t xml:space="preserve">הנתבע 6 כתב הגנה. התובעת עתרה למתן פסק דין על סך של 1,000,000 ₪ כנגד הנתבע 6 וזאת בהיעדר הגנה. בהחלטה מיום 28/4/2022 קבעתי, בין היתר, כי "אין מדובר במצב רגיל בו לא הוגש כתב הגנה", התייחסתי לכך שחלק מהנתבעים טוענים שהכרעה בהליך כאן "תסתור פסק דין חלוט" והכוונה היא לפסק הדין בהליך המקורי. לאור זאת, </w:t>
      </w:r>
      <w:r w:rsidR="00FD754C">
        <w:rPr>
          <w:rFonts w:ascii="David" w:hAnsi="David" w:cs="David" w:hint="cs"/>
          <w:sz w:val="24"/>
          <w:szCs w:val="24"/>
          <w:rtl/>
        </w:rPr>
        <w:t xml:space="preserve">וכן </w:t>
      </w:r>
      <w:r>
        <w:rPr>
          <w:rFonts w:ascii="David" w:hAnsi="David" w:cs="David"/>
          <w:sz w:val="24"/>
          <w:szCs w:val="24"/>
          <w:rtl/>
        </w:rPr>
        <w:t>לאור הנימוקים שבהחלטה מיום 28/4/2024</w:t>
      </w:r>
      <w:r w:rsidR="00FD754C">
        <w:rPr>
          <w:rFonts w:ascii="David" w:hAnsi="David" w:cs="David" w:hint="cs"/>
          <w:sz w:val="24"/>
          <w:szCs w:val="24"/>
          <w:rtl/>
        </w:rPr>
        <w:t>,</w:t>
      </w:r>
      <w:r>
        <w:rPr>
          <w:rFonts w:ascii="David" w:hAnsi="David" w:cs="David"/>
          <w:sz w:val="24"/>
          <w:szCs w:val="24"/>
          <w:rtl/>
        </w:rPr>
        <w:t xml:space="preserve"> קבעתי שפסק דין ביחס לנתבע 6 יינתן יחד עם פסק הדין ביחס לנתבעים 1-5.</w:t>
      </w:r>
    </w:p>
    <w:p w:rsidR="0016772A" w:rsidRDefault="0016772A" w:rsidP="0016772A">
      <w:pPr>
        <w:pStyle w:val="ad"/>
        <w:spacing w:line="360" w:lineRule="auto"/>
        <w:ind w:left="395"/>
        <w:jc w:val="both"/>
        <w:rPr>
          <w:rFonts w:ascii="David" w:hAnsi="David" w:cs="David"/>
          <w:sz w:val="24"/>
          <w:szCs w:val="24"/>
        </w:rPr>
      </w:pPr>
    </w:p>
    <w:p w:rsidR="0016772A" w:rsidRDefault="0016772A" w:rsidP="0016772A">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הנתבעים 1-5  הבהירו שההליך המקורי לא התייחס לתשלום סך של 1,000,000 ₪ לאם המנוחה, אלא הליך שיכריע בבקשה להעברת זכויות הדיירות המוגנת לדיירים המוצעים. מכאן "לא יכול היה להינתן צו המחייב את הנתבעים לשלם למנוחה את הסכום הנ"ל".</w:t>
      </w:r>
    </w:p>
    <w:p w:rsidR="0016772A" w:rsidRDefault="0016772A" w:rsidP="0016772A">
      <w:pPr>
        <w:pStyle w:val="ad"/>
        <w:rPr>
          <w:rFonts w:ascii="David" w:hAnsi="David" w:cs="David"/>
          <w:sz w:val="24"/>
          <w:szCs w:val="24"/>
        </w:rPr>
      </w:pPr>
    </w:p>
    <w:p w:rsidR="0016772A" w:rsidRDefault="0016772A" w:rsidP="0016772A">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הנתבעים הטילו "ספק רב" ברצונה של האם המנוחה לעזוב את הדירה ולעבור להתגורר בבית אבות. לדבריהם האם המנוחה "לא היתה מסוגלת במועד זה להביע את רצונה", ועוד לדבריהם – המדובר הוא ברצונה של התובעת בלבד.</w:t>
      </w:r>
    </w:p>
    <w:p w:rsidR="0016772A" w:rsidRDefault="0016772A" w:rsidP="0016772A">
      <w:pPr>
        <w:pStyle w:val="ad"/>
        <w:rPr>
          <w:rFonts w:ascii="David" w:hAnsi="David" w:cs="David"/>
          <w:sz w:val="24"/>
          <w:szCs w:val="24"/>
        </w:rPr>
      </w:pPr>
    </w:p>
    <w:p w:rsidR="0016772A" w:rsidRDefault="0016772A" w:rsidP="0016772A">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הנתבעים 1-5 מכחישים, אחת לאחת, את טענות התובעת. עוד נטען, שאין כל זכות לתשלום וכי "האבסורד בהתגלמותו" לטעון שקיימת זכות לתשלום שהועברה בירושה לתובעת.</w:t>
      </w:r>
    </w:p>
    <w:p w:rsidR="0016772A" w:rsidRDefault="0016772A" w:rsidP="0016772A">
      <w:pPr>
        <w:pStyle w:val="ad"/>
        <w:rPr>
          <w:rFonts w:ascii="David" w:hAnsi="David" w:cs="David"/>
          <w:sz w:val="24"/>
          <w:szCs w:val="24"/>
        </w:rPr>
      </w:pPr>
    </w:p>
    <w:p w:rsidR="0016772A" w:rsidRDefault="0016772A" w:rsidP="0016772A">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הנתבעים הפנו להחלטה שניתנה על ידי כב' הש' ע' יריב לפיה חייב את הדיירים המוצעים להפקיד סך של 1,500,000 ₪ וזאת </w:t>
      </w:r>
      <w:r>
        <w:rPr>
          <w:rFonts w:ascii="David" w:hAnsi="David" w:cs="David"/>
          <w:b/>
          <w:bCs/>
          <w:sz w:val="24"/>
          <w:szCs w:val="24"/>
          <w:rtl/>
        </w:rPr>
        <w:t>"בטרם נתקדם בהליך"</w:t>
      </w:r>
      <w:r>
        <w:rPr>
          <w:rFonts w:ascii="David" w:hAnsi="David" w:cs="David"/>
          <w:sz w:val="24"/>
          <w:szCs w:val="24"/>
          <w:rtl/>
        </w:rPr>
        <w:t xml:space="preserve">. לטענתם, יחד עם החלטה זו, התקיים דיון מחוץ לפרוטוקול שבו אמר הש' ע' יריב – </w:t>
      </w:r>
      <w:r>
        <w:rPr>
          <w:rFonts w:ascii="David" w:hAnsi="David" w:cs="David"/>
          <w:b/>
          <w:bCs/>
          <w:sz w:val="24"/>
          <w:szCs w:val="24"/>
          <w:rtl/>
        </w:rPr>
        <w:t>"נראה כמה הם רציניים ולפי זה נמשיך בהליך"</w:t>
      </w:r>
      <w:r>
        <w:rPr>
          <w:rFonts w:ascii="David" w:hAnsi="David" w:cs="David"/>
          <w:sz w:val="24"/>
          <w:szCs w:val="24"/>
          <w:rtl/>
        </w:rPr>
        <w:t>.</w:t>
      </w:r>
    </w:p>
    <w:p w:rsidR="0016772A" w:rsidRDefault="0016772A" w:rsidP="0016772A">
      <w:pPr>
        <w:pStyle w:val="ad"/>
        <w:rPr>
          <w:rFonts w:ascii="David" w:hAnsi="David" w:cs="David"/>
          <w:sz w:val="24"/>
          <w:szCs w:val="24"/>
        </w:rPr>
      </w:pPr>
    </w:p>
    <w:p w:rsidR="0016772A" w:rsidRDefault="0016772A" w:rsidP="0016772A">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הנתבעים הפנו לכך שהדיירים המוצעים לא הפקידו את הסך של 1,500,000 ₪ בקופת בית המשפט. זאת ועוד, כאשר פנה עו"ד הנדל, שייצג בהליך המקורי, והודיע שהדיירים המוצעים מוכנים להפקיד הסך של 1,500,000 ₪ - ניתנה ביום 1/7/2021 החלטה בה ביקש בית המשפט לדעת </w:t>
      </w:r>
      <w:r>
        <w:rPr>
          <w:rFonts w:ascii="David" w:hAnsi="David" w:cs="David"/>
          <w:b/>
          <w:bCs/>
          <w:sz w:val="24"/>
          <w:szCs w:val="24"/>
          <w:rtl/>
        </w:rPr>
        <w:t>"עם פטירת הדיירת... מדוע לא יימחק ההליך"</w:t>
      </w:r>
      <w:r>
        <w:rPr>
          <w:rFonts w:ascii="David" w:hAnsi="David" w:cs="David"/>
          <w:sz w:val="24"/>
          <w:szCs w:val="24"/>
          <w:rtl/>
        </w:rPr>
        <w:t>. הנתבעים הוסיפו והדגישו שלא ניתן פסק דין בהליך המקורי . עוד הוסיפו שאפילו היה ניתן פסק דין וזה היה לטובת האם המנוחה, הרי עדיין היתה עומדת להם הזכות לערער על כך.</w:t>
      </w:r>
    </w:p>
    <w:p w:rsidR="00FD754C" w:rsidRDefault="00FD754C" w:rsidP="0016772A">
      <w:pPr>
        <w:pStyle w:val="ad"/>
        <w:spacing w:line="360" w:lineRule="auto"/>
        <w:ind w:left="395"/>
        <w:jc w:val="both"/>
        <w:rPr>
          <w:rFonts w:ascii="David" w:hAnsi="David" w:cs="David"/>
          <w:sz w:val="24"/>
          <w:szCs w:val="24"/>
        </w:rPr>
      </w:pPr>
    </w:p>
    <w:p w:rsidR="0016772A" w:rsidRDefault="0016772A" w:rsidP="0016772A">
      <w:pPr>
        <w:pStyle w:val="ad"/>
        <w:spacing w:line="360" w:lineRule="auto"/>
        <w:ind w:left="-739"/>
        <w:jc w:val="both"/>
        <w:rPr>
          <w:rFonts w:ascii="David" w:hAnsi="David" w:cs="David"/>
          <w:b/>
          <w:bCs/>
          <w:sz w:val="24"/>
          <w:szCs w:val="24"/>
          <w:u w:val="single"/>
          <w:rtl/>
        </w:rPr>
      </w:pPr>
      <w:r>
        <w:rPr>
          <w:rFonts w:ascii="David" w:hAnsi="David" w:cs="David"/>
          <w:b/>
          <w:bCs/>
          <w:sz w:val="28"/>
          <w:szCs w:val="28"/>
          <w:u w:val="single"/>
          <w:rtl/>
        </w:rPr>
        <w:t>חלק שלישי – דיון והכרעה</w:t>
      </w:r>
    </w:p>
    <w:p w:rsidR="0016772A" w:rsidRDefault="0016772A" w:rsidP="0016772A">
      <w:pPr>
        <w:pStyle w:val="ad"/>
        <w:spacing w:line="360" w:lineRule="auto"/>
        <w:ind w:left="-172"/>
        <w:jc w:val="both"/>
        <w:rPr>
          <w:rFonts w:ascii="David" w:hAnsi="David" w:cs="David"/>
          <w:sz w:val="24"/>
          <w:szCs w:val="24"/>
          <w:rtl/>
        </w:rPr>
      </w:pPr>
    </w:p>
    <w:p w:rsidR="0016772A" w:rsidRDefault="0016772A" w:rsidP="0016772A">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כללי – חזרה על שלושת הנימוקים העיקריים שדי בכל אחד מהם כדי להביא לדחיית התביעה</w:t>
      </w:r>
    </w:p>
    <w:p w:rsidR="0016772A" w:rsidRDefault="0016772A" w:rsidP="0016772A">
      <w:pPr>
        <w:pStyle w:val="ad"/>
        <w:spacing w:line="360" w:lineRule="auto"/>
        <w:ind w:left="-172"/>
        <w:jc w:val="both"/>
        <w:rPr>
          <w:rFonts w:ascii="David" w:hAnsi="David" w:cs="David"/>
          <w:sz w:val="24"/>
          <w:szCs w:val="24"/>
        </w:rPr>
      </w:pPr>
      <w:r>
        <w:rPr>
          <w:rFonts w:ascii="David" w:hAnsi="David" w:cs="David"/>
          <w:sz w:val="24"/>
          <w:szCs w:val="24"/>
          <w:rtl/>
        </w:rPr>
        <w:t xml:space="preserve">למען הנוחות אשוב על שלושת הנימוקים העיקריים לדחיית התביעה – </w:t>
      </w:r>
    </w:p>
    <w:p w:rsidR="0016772A" w:rsidRDefault="0016772A" w:rsidP="0016772A">
      <w:pPr>
        <w:pStyle w:val="ad"/>
        <w:spacing w:line="360" w:lineRule="auto"/>
        <w:ind w:left="-172"/>
        <w:jc w:val="both"/>
        <w:rPr>
          <w:rFonts w:ascii="David" w:hAnsi="David" w:cs="David"/>
          <w:sz w:val="24"/>
          <w:szCs w:val="24"/>
          <w:rtl/>
        </w:rPr>
      </w:pPr>
    </w:p>
    <w:p w:rsidR="00DB7AA5" w:rsidRPr="00DB7AA5" w:rsidRDefault="0016772A" w:rsidP="00242D9E">
      <w:pPr>
        <w:pStyle w:val="ad"/>
        <w:numPr>
          <w:ilvl w:val="0"/>
          <w:numId w:val="5"/>
        </w:numPr>
        <w:spacing w:line="360" w:lineRule="auto"/>
        <w:jc w:val="both"/>
        <w:rPr>
          <w:rFonts w:ascii="David" w:hAnsi="David" w:cs="David"/>
          <w:sz w:val="24"/>
          <w:szCs w:val="24"/>
          <w:rtl/>
        </w:rPr>
      </w:pPr>
      <w:r>
        <w:rPr>
          <w:rFonts w:ascii="David" w:hAnsi="David" w:cs="David"/>
          <w:b/>
          <w:bCs/>
          <w:sz w:val="24"/>
          <w:szCs w:val="24"/>
          <w:u w:val="single"/>
          <w:rtl/>
        </w:rPr>
        <w:t>נימוק ראשון משלושה לדחיית התביעה</w:t>
      </w:r>
      <w:r>
        <w:rPr>
          <w:rFonts w:ascii="David" w:hAnsi="David" w:cs="David"/>
          <w:sz w:val="24"/>
          <w:szCs w:val="24"/>
          <w:rtl/>
        </w:rPr>
        <w:t xml:space="preserve"> -  </w:t>
      </w:r>
      <w:r w:rsidR="00DB7AA5" w:rsidRPr="00DB7AA5">
        <w:rPr>
          <w:rFonts w:ascii="David" w:hAnsi="David" w:cs="David"/>
          <w:sz w:val="24"/>
          <w:szCs w:val="24"/>
          <w:rtl/>
        </w:rPr>
        <w:t xml:space="preserve">אין מקום לדון בטענות לזכויות מכח הדיירות המוגנת, כאשר קיים פסק דין חלוט </w:t>
      </w:r>
      <w:r w:rsidR="00DB7AA5" w:rsidRPr="00DB7AA5">
        <w:rPr>
          <w:rFonts w:ascii="David" w:hAnsi="David" w:cs="David" w:hint="cs"/>
          <w:sz w:val="24"/>
          <w:szCs w:val="24"/>
          <w:rtl/>
        </w:rPr>
        <w:t>בהליך המקורי הקובע ש</w:t>
      </w:r>
      <w:r w:rsidR="00DB7AA5" w:rsidRPr="00DB7AA5">
        <w:rPr>
          <w:rFonts w:ascii="David" w:hAnsi="David" w:cs="David"/>
          <w:sz w:val="24"/>
          <w:szCs w:val="24"/>
          <w:rtl/>
        </w:rPr>
        <w:t>זכויות אלה פקעו.</w:t>
      </w:r>
    </w:p>
    <w:p w:rsidR="00DB7AA5" w:rsidRDefault="00DB7AA5" w:rsidP="0016772A">
      <w:pPr>
        <w:pStyle w:val="ad"/>
        <w:spacing w:line="360" w:lineRule="auto"/>
        <w:ind w:left="755"/>
        <w:jc w:val="both"/>
        <w:rPr>
          <w:rFonts w:ascii="David" w:hAnsi="David" w:cs="David"/>
          <w:sz w:val="24"/>
          <w:szCs w:val="24"/>
        </w:rPr>
      </w:pPr>
    </w:p>
    <w:p w:rsidR="0016772A" w:rsidRDefault="0016772A" w:rsidP="00242D9E">
      <w:pPr>
        <w:pStyle w:val="ad"/>
        <w:numPr>
          <w:ilvl w:val="0"/>
          <w:numId w:val="5"/>
        </w:numPr>
        <w:spacing w:line="360" w:lineRule="auto"/>
        <w:jc w:val="both"/>
        <w:rPr>
          <w:rFonts w:ascii="David" w:hAnsi="David" w:cs="David"/>
          <w:sz w:val="24"/>
          <w:szCs w:val="24"/>
        </w:rPr>
      </w:pPr>
      <w:r>
        <w:rPr>
          <w:rFonts w:ascii="David" w:hAnsi="David" w:cs="David"/>
          <w:b/>
          <w:bCs/>
          <w:sz w:val="24"/>
          <w:szCs w:val="24"/>
          <w:u w:val="single"/>
          <w:rtl/>
        </w:rPr>
        <w:t>נימוק שני משלושה לדחיית התביעה</w:t>
      </w:r>
      <w:r>
        <w:rPr>
          <w:rFonts w:ascii="David" w:hAnsi="David" w:cs="David"/>
          <w:sz w:val="24"/>
          <w:szCs w:val="24"/>
          <w:rtl/>
        </w:rPr>
        <w:t xml:space="preserve"> -  </w:t>
      </w:r>
      <w:r w:rsidR="00242D9E">
        <w:rPr>
          <w:rFonts w:ascii="David" w:hAnsi="David" w:cs="David"/>
          <w:sz w:val="24"/>
          <w:szCs w:val="24"/>
          <w:rtl/>
        </w:rPr>
        <w:t>אין לקבל טענה לפיה גם עם פקיעת הזכות לדיירות מוגנת, עדיין קיימת לה זכות אחרת</w:t>
      </w:r>
      <w:r w:rsidR="00242D9E">
        <w:rPr>
          <w:rFonts w:ascii="David" w:hAnsi="David" w:cs="David" w:hint="cs"/>
          <w:sz w:val="24"/>
          <w:szCs w:val="24"/>
          <w:rtl/>
        </w:rPr>
        <w:t>.</w:t>
      </w:r>
      <w:r w:rsidR="00242D9E">
        <w:rPr>
          <w:rFonts w:ascii="David" w:hAnsi="David" w:cs="David"/>
          <w:sz w:val="24"/>
          <w:szCs w:val="24"/>
          <w:rtl/>
        </w:rPr>
        <w:t xml:space="preserve"> "זכות כספית" לפדיון </w:t>
      </w:r>
      <w:r w:rsidR="00242D9E">
        <w:rPr>
          <w:rFonts w:ascii="David" w:hAnsi="David" w:cs="David" w:hint="cs"/>
          <w:sz w:val="24"/>
          <w:szCs w:val="24"/>
          <w:rtl/>
        </w:rPr>
        <w:t xml:space="preserve">זכות הדיירות המוגנת </w:t>
      </w:r>
      <w:r w:rsidR="00242D9E">
        <w:rPr>
          <w:rFonts w:ascii="David" w:hAnsi="David" w:cs="David"/>
          <w:sz w:val="24"/>
          <w:szCs w:val="24"/>
          <w:rtl/>
        </w:rPr>
        <w:t>שכבר אינה קיימת.</w:t>
      </w:r>
    </w:p>
    <w:p w:rsidR="0016772A" w:rsidRDefault="0016772A" w:rsidP="0016772A">
      <w:pPr>
        <w:pStyle w:val="ad"/>
        <w:rPr>
          <w:rFonts w:ascii="David" w:hAnsi="David" w:cs="David"/>
          <w:sz w:val="24"/>
          <w:szCs w:val="24"/>
        </w:rPr>
      </w:pPr>
    </w:p>
    <w:p w:rsidR="0016772A" w:rsidRDefault="0016772A" w:rsidP="00242D9E">
      <w:pPr>
        <w:pStyle w:val="ad"/>
        <w:numPr>
          <w:ilvl w:val="0"/>
          <w:numId w:val="5"/>
        </w:numPr>
        <w:spacing w:line="360" w:lineRule="auto"/>
        <w:jc w:val="both"/>
        <w:rPr>
          <w:rFonts w:ascii="David" w:hAnsi="David" w:cs="David"/>
          <w:sz w:val="24"/>
          <w:szCs w:val="24"/>
          <w:rtl/>
        </w:rPr>
      </w:pPr>
      <w:r>
        <w:rPr>
          <w:rFonts w:ascii="David" w:hAnsi="David" w:cs="David"/>
          <w:b/>
          <w:bCs/>
          <w:sz w:val="24"/>
          <w:szCs w:val="24"/>
          <w:u w:val="single"/>
          <w:rtl/>
        </w:rPr>
        <w:t>נימוק שלישי משלושה לדחיית התביעה</w:t>
      </w:r>
      <w:r>
        <w:rPr>
          <w:rFonts w:ascii="David" w:hAnsi="David" w:cs="David"/>
          <w:sz w:val="24"/>
          <w:szCs w:val="24"/>
          <w:rtl/>
        </w:rPr>
        <w:t xml:space="preserve"> -  אין לקבל טענות התובעת לפיהן הנתבעים </w:t>
      </w:r>
      <w:r w:rsidR="00242D9E">
        <w:rPr>
          <w:rFonts w:ascii="David" w:hAnsi="David" w:cs="David"/>
          <w:sz w:val="24"/>
          <w:szCs w:val="24"/>
          <w:rtl/>
        </w:rPr>
        <w:t>סיכלו את זכויותיה של האם המנוחה</w:t>
      </w:r>
      <w:r w:rsidR="00242D9E">
        <w:rPr>
          <w:rFonts w:ascii="David" w:hAnsi="David" w:cs="David" w:hint="cs"/>
          <w:sz w:val="24"/>
          <w:szCs w:val="24"/>
          <w:rtl/>
        </w:rPr>
        <w:t xml:space="preserve">. סיכלו </w:t>
      </w:r>
      <w:r>
        <w:rPr>
          <w:rFonts w:ascii="David" w:hAnsi="David" w:cs="David"/>
          <w:sz w:val="24"/>
          <w:szCs w:val="24"/>
          <w:rtl/>
        </w:rPr>
        <w:t xml:space="preserve">כאשר הגישו כתב הגנה והתנהלו בהליך המשפטי הקצרצר שהסתיים כאמור עם מותה, המצער, של האם המנוחה.   </w:t>
      </w:r>
    </w:p>
    <w:p w:rsidR="0016772A" w:rsidRDefault="0016772A" w:rsidP="0016772A">
      <w:pPr>
        <w:pStyle w:val="ad"/>
        <w:spacing w:line="360" w:lineRule="auto"/>
        <w:ind w:left="-172"/>
        <w:jc w:val="both"/>
        <w:rPr>
          <w:rFonts w:ascii="David" w:hAnsi="David" w:cs="David"/>
          <w:sz w:val="24"/>
          <w:szCs w:val="24"/>
        </w:rPr>
      </w:pPr>
    </w:p>
    <w:p w:rsidR="0016772A" w:rsidRDefault="0016772A" w:rsidP="0016772A">
      <w:pPr>
        <w:pStyle w:val="ad"/>
        <w:spacing w:line="360" w:lineRule="auto"/>
        <w:ind w:left="-172"/>
        <w:jc w:val="both"/>
        <w:rPr>
          <w:rFonts w:ascii="David" w:hAnsi="David" w:cs="David"/>
          <w:sz w:val="24"/>
          <w:szCs w:val="24"/>
          <w:rtl/>
        </w:rPr>
      </w:pPr>
      <w:r>
        <w:rPr>
          <w:rFonts w:ascii="David" w:hAnsi="David" w:cs="David"/>
          <w:sz w:val="24"/>
          <w:szCs w:val="24"/>
          <w:rtl/>
        </w:rPr>
        <w:t xml:space="preserve">בפסקאות הבאות אדון בכל אחד מהנימוקים דלעיל. </w:t>
      </w:r>
    </w:p>
    <w:p w:rsidR="0016772A" w:rsidRDefault="0016772A" w:rsidP="0016772A">
      <w:pPr>
        <w:pStyle w:val="ad"/>
        <w:spacing w:line="360" w:lineRule="auto"/>
        <w:ind w:left="395"/>
        <w:jc w:val="both"/>
        <w:rPr>
          <w:rFonts w:ascii="David" w:hAnsi="David" w:cs="David"/>
          <w:sz w:val="24"/>
          <w:szCs w:val="24"/>
          <w:rtl/>
        </w:rPr>
      </w:pPr>
    </w:p>
    <w:p w:rsidR="00FD754C" w:rsidRDefault="00FD754C" w:rsidP="0016772A">
      <w:pPr>
        <w:pStyle w:val="ad"/>
        <w:spacing w:line="360" w:lineRule="auto"/>
        <w:ind w:left="395"/>
        <w:jc w:val="both"/>
        <w:rPr>
          <w:rFonts w:ascii="David" w:hAnsi="David" w:cs="David"/>
          <w:sz w:val="24"/>
          <w:szCs w:val="24"/>
          <w:rtl/>
        </w:rPr>
      </w:pPr>
    </w:p>
    <w:p w:rsidR="0016772A" w:rsidRDefault="0016772A" w:rsidP="0016772A">
      <w:pPr>
        <w:pStyle w:val="ad"/>
        <w:numPr>
          <w:ilvl w:val="0"/>
          <w:numId w:val="1"/>
        </w:numPr>
        <w:spacing w:line="360" w:lineRule="auto"/>
        <w:ind w:left="-172" w:hanging="284"/>
        <w:jc w:val="both"/>
        <w:rPr>
          <w:rFonts w:ascii="David" w:hAnsi="David" w:cs="David"/>
          <w:sz w:val="24"/>
          <w:szCs w:val="24"/>
          <w:rtl/>
        </w:rPr>
      </w:pPr>
      <w:r>
        <w:rPr>
          <w:rFonts w:ascii="David" w:hAnsi="David" w:cs="David"/>
          <w:b/>
          <w:bCs/>
          <w:sz w:val="24"/>
          <w:szCs w:val="24"/>
          <w:u w:val="single"/>
          <w:rtl/>
        </w:rPr>
        <w:t>נימוק אחד משלושה לדחיית התביעה - אין מקום לדון בטענות לזכויות מכח הדיירות המוגנת, כאשר קיים פסק דין חלוט לפיו זכויות אלה פקעו</w:t>
      </w:r>
    </w:p>
    <w:p w:rsidR="0016772A" w:rsidRDefault="0016772A" w:rsidP="0016772A">
      <w:pPr>
        <w:pStyle w:val="ad"/>
        <w:numPr>
          <w:ilvl w:val="1"/>
          <w:numId w:val="1"/>
        </w:numPr>
        <w:spacing w:line="360" w:lineRule="auto"/>
        <w:ind w:left="253" w:hanging="425"/>
        <w:jc w:val="both"/>
        <w:rPr>
          <w:rFonts w:ascii="David" w:hAnsi="David" w:cs="David"/>
          <w:sz w:val="24"/>
          <w:szCs w:val="24"/>
        </w:rPr>
      </w:pPr>
      <w:r>
        <w:rPr>
          <w:rFonts w:ascii="David" w:hAnsi="David" w:cs="David"/>
          <w:sz w:val="24"/>
          <w:szCs w:val="24"/>
          <w:rtl/>
        </w:rPr>
        <w:t xml:space="preserve">שאלת זכותה של האם המנוחה, היא שאלה שהוכרעה זה מכבר במסגרת ההליך המקורי. כחודש לאחר מותה של האם המנוחה, נקבע שזכויותיה פקעו, וכלשון פסק הדין מיום 12/7/2021 (ההדגשות לא במקור) - </w:t>
      </w:r>
      <w:r>
        <w:rPr>
          <w:rFonts w:ascii="David" w:hAnsi="David" w:cs="David"/>
          <w:b/>
          <w:bCs/>
          <w:sz w:val="24"/>
          <w:szCs w:val="24"/>
          <w:rtl/>
        </w:rPr>
        <w:t xml:space="preserve">"... עם פטירתה של המנוחה </w:t>
      </w:r>
      <w:r>
        <w:rPr>
          <w:rFonts w:ascii="David" w:hAnsi="David" w:cs="David"/>
          <w:b/>
          <w:bCs/>
          <w:sz w:val="24"/>
          <w:szCs w:val="24"/>
          <w:u w:val="single"/>
          <w:rtl/>
        </w:rPr>
        <w:t>פוקעות זכויותיה כדיירת מוגנת</w:t>
      </w:r>
      <w:r>
        <w:rPr>
          <w:rFonts w:ascii="David" w:hAnsi="David" w:cs="David"/>
          <w:b/>
          <w:bCs/>
          <w:sz w:val="24"/>
          <w:szCs w:val="24"/>
          <w:rtl/>
        </w:rPr>
        <w:t>, בכפוף להוראות חוק הגנת הדייר [נוסח משולב] תשל"ב-1972. משכך, אין עוד תוחלת להליך זה ואני מורה על מחיקת התביעה. בנסיבות הענין, לא יהיה צו להוצאות"</w:t>
      </w:r>
      <w:r>
        <w:rPr>
          <w:rFonts w:ascii="David" w:hAnsi="David" w:cs="David"/>
          <w:sz w:val="24"/>
          <w:szCs w:val="24"/>
          <w:rtl/>
        </w:rPr>
        <w:t>.</w:t>
      </w:r>
    </w:p>
    <w:p w:rsidR="0016772A" w:rsidRDefault="0016772A" w:rsidP="0016772A">
      <w:pPr>
        <w:pStyle w:val="ad"/>
        <w:spacing w:line="360" w:lineRule="auto"/>
        <w:ind w:left="253"/>
        <w:jc w:val="both"/>
        <w:rPr>
          <w:rFonts w:ascii="David" w:hAnsi="David" w:cs="David"/>
          <w:sz w:val="24"/>
          <w:szCs w:val="24"/>
        </w:rPr>
      </w:pPr>
    </w:p>
    <w:p w:rsidR="0016772A" w:rsidRDefault="0016772A" w:rsidP="0016772A">
      <w:pPr>
        <w:pStyle w:val="ad"/>
        <w:numPr>
          <w:ilvl w:val="1"/>
          <w:numId w:val="1"/>
        </w:numPr>
        <w:spacing w:line="360" w:lineRule="auto"/>
        <w:ind w:left="253" w:hanging="425"/>
        <w:jc w:val="both"/>
        <w:rPr>
          <w:rFonts w:ascii="David" w:hAnsi="David" w:cs="David"/>
          <w:sz w:val="24"/>
          <w:szCs w:val="24"/>
        </w:rPr>
      </w:pPr>
      <w:r>
        <w:rPr>
          <w:rFonts w:ascii="David" w:hAnsi="David" w:cs="David"/>
          <w:b/>
          <w:bCs/>
          <w:sz w:val="24"/>
          <w:szCs w:val="24"/>
          <w:u w:val="single"/>
          <w:rtl/>
        </w:rPr>
        <w:t>זכויות האם המנוחה פקעו – כך נקבע בפסק דין חלוט</w:t>
      </w:r>
    </w:p>
    <w:p w:rsidR="0016772A" w:rsidRDefault="0016772A" w:rsidP="0016772A">
      <w:pPr>
        <w:pStyle w:val="ad"/>
        <w:numPr>
          <w:ilvl w:val="0"/>
          <w:numId w:val="6"/>
        </w:numPr>
        <w:spacing w:line="360" w:lineRule="auto"/>
        <w:jc w:val="both"/>
        <w:rPr>
          <w:rFonts w:ascii="David" w:hAnsi="David" w:cs="David"/>
          <w:sz w:val="24"/>
          <w:szCs w:val="24"/>
        </w:rPr>
      </w:pPr>
      <w:r>
        <w:rPr>
          <w:rFonts w:ascii="David" w:hAnsi="David" w:cs="David"/>
          <w:sz w:val="24"/>
          <w:szCs w:val="24"/>
          <w:rtl/>
        </w:rPr>
        <w:t xml:space="preserve">על פסק הדין הקובע שפקעו זכויותיה של האם המנוחה לא הוגש ערעור. פסק הדין הפך לחלוט. הקביעה החלוטה היא שכלל לא קיימות זכויות דיירות מוגנת. </w:t>
      </w:r>
    </w:p>
    <w:p w:rsidR="0016772A" w:rsidRDefault="0016772A" w:rsidP="0016772A">
      <w:pPr>
        <w:pStyle w:val="ad"/>
        <w:rPr>
          <w:rFonts w:ascii="David" w:hAnsi="David" w:cs="David"/>
          <w:sz w:val="24"/>
          <w:szCs w:val="24"/>
        </w:rPr>
      </w:pPr>
    </w:p>
    <w:p w:rsidR="0016772A" w:rsidRDefault="0016772A" w:rsidP="0016772A">
      <w:pPr>
        <w:pStyle w:val="ad"/>
        <w:numPr>
          <w:ilvl w:val="0"/>
          <w:numId w:val="6"/>
        </w:numPr>
        <w:spacing w:line="360" w:lineRule="auto"/>
        <w:jc w:val="both"/>
        <w:rPr>
          <w:rFonts w:ascii="David" w:hAnsi="David" w:cs="David"/>
          <w:sz w:val="24"/>
          <w:szCs w:val="24"/>
          <w:rtl/>
        </w:rPr>
      </w:pPr>
      <w:r>
        <w:rPr>
          <w:rFonts w:ascii="David" w:hAnsi="David" w:cs="David"/>
          <w:sz w:val="24"/>
          <w:szCs w:val="24"/>
          <w:rtl/>
        </w:rPr>
        <w:t xml:space="preserve">כאן המקום להזכיר שבמסגרת התיק המקורי נקבע כי </w:t>
      </w:r>
      <w:r>
        <w:rPr>
          <w:rFonts w:ascii="David" w:hAnsi="David" w:cs="David"/>
          <w:b/>
          <w:bCs/>
          <w:sz w:val="24"/>
          <w:szCs w:val="24"/>
          <w:rtl/>
        </w:rPr>
        <w:t>"בטרם נתקדם בהליך"</w:t>
      </w:r>
      <w:r>
        <w:rPr>
          <w:rFonts w:ascii="David" w:hAnsi="David" w:cs="David"/>
          <w:sz w:val="24"/>
          <w:szCs w:val="24"/>
          <w:rtl/>
        </w:rPr>
        <w:t xml:space="preserve"> יפקידו הדיירים המוצעים את הסך של 1,500,000 ₪ בקופת בית המשפט. עוד ייאמר שעוד קודם למתן פסק הדין, ביקש עו"ד דוד הנדל שהיה בא כוחה של האם המנוחה, לאפשר לדיירים המוצעים להפקיד את הסך של 1,500,000 ₪, ואולם בהחלטה מיום 1/7/2024 הורה בית המשפט כך – </w:t>
      </w:r>
      <w:r>
        <w:rPr>
          <w:rFonts w:ascii="David" w:hAnsi="David" w:cs="David"/>
          <w:b/>
          <w:bCs/>
          <w:sz w:val="24"/>
          <w:szCs w:val="24"/>
          <w:rtl/>
        </w:rPr>
        <w:t>"יואיל עו"ד הנדל להודיע לא יאוחר מיום 8.7.2021 מדוע לא יימחק ההליך"</w:t>
      </w:r>
      <w:r>
        <w:rPr>
          <w:rFonts w:ascii="David" w:hAnsi="David" w:cs="David"/>
          <w:sz w:val="24"/>
          <w:szCs w:val="24"/>
          <w:rtl/>
        </w:rPr>
        <w:t>. מאוחר יותר הודיעה התובעת עצמה שעו"ד הנדל התפטר מייצוג וכי היא (התובעת) מחליפה ייצוג בהליך. על גבי הודעה זו ניתן בפתקית פסק הדין הקובע שזכויות האם המנוחה פקעו.</w:t>
      </w:r>
    </w:p>
    <w:p w:rsidR="0016772A" w:rsidRDefault="0016772A" w:rsidP="0016772A">
      <w:pPr>
        <w:pStyle w:val="ad"/>
        <w:spacing w:line="360" w:lineRule="auto"/>
        <w:ind w:left="253"/>
        <w:jc w:val="both"/>
        <w:rPr>
          <w:rFonts w:ascii="David" w:hAnsi="David" w:cs="David"/>
          <w:sz w:val="24"/>
          <w:szCs w:val="24"/>
        </w:rPr>
      </w:pPr>
    </w:p>
    <w:p w:rsidR="0016772A" w:rsidRDefault="0016772A" w:rsidP="0016772A">
      <w:pPr>
        <w:pStyle w:val="ad"/>
        <w:numPr>
          <w:ilvl w:val="1"/>
          <w:numId w:val="1"/>
        </w:numPr>
        <w:spacing w:line="360" w:lineRule="auto"/>
        <w:ind w:left="253" w:hanging="425"/>
        <w:jc w:val="both"/>
        <w:rPr>
          <w:rFonts w:ascii="David" w:hAnsi="David" w:cs="David"/>
          <w:sz w:val="24"/>
          <w:szCs w:val="24"/>
        </w:rPr>
      </w:pPr>
      <w:r>
        <w:rPr>
          <w:rFonts w:ascii="David" w:hAnsi="David" w:cs="David"/>
          <w:b/>
          <w:bCs/>
          <w:sz w:val="24"/>
          <w:szCs w:val="24"/>
          <w:u w:val="single"/>
          <w:rtl/>
        </w:rPr>
        <w:lastRenderedPageBreak/>
        <w:t>אין מקום ליתן פסק דין חדש, הסותר מהותית פסק דין חלוט שניתן בעבר בענין זכויות הנובעות מדיירות מוגנת</w:t>
      </w:r>
    </w:p>
    <w:p w:rsidR="0016772A" w:rsidRDefault="0016772A" w:rsidP="0016772A">
      <w:pPr>
        <w:pStyle w:val="ad"/>
        <w:numPr>
          <w:ilvl w:val="0"/>
          <w:numId w:val="7"/>
        </w:numPr>
        <w:spacing w:line="360" w:lineRule="auto"/>
        <w:jc w:val="both"/>
        <w:rPr>
          <w:rFonts w:ascii="David" w:hAnsi="David" w:cs="David"/>
          <w:sz w:val="24"/>
          <w:szCs w:val="24"/>
        </w:rPr>
      </w:pPr>
      <w:r>
        <w:rPr>
          <w:rFonts w:ascii="David" w:hAnsi="David" w:cs="David"/>
          <w:sz w:val="24"/>
          <w:szCs w:val="24"/>
          <w:rtl/>
        </w:rPr>
        <w:t>התביעה כאן, היא במלוא הכבוד ניסיון להפיח רוח חיים בזכויות שפקעו זה מכבר ולהביא לקביעה הסותרת את פסק הדין החלוט שניתן במסגרת ההליך המקורי. ואסביר. זכות הדיירות המוגנת היא הזכות העיקרית הנובעת מדיני הגנת הדייר ומ</w:t>
      </w:r>
      <w:r>
        <w:rPr>
          <w:rFonts w:ascii="David" w:hAnsi="David" w:cs="David"/>
          <w:sz w:val="24"/>
          <w:szCs w:val="24"/>
          <w:u w:val="single"/>
          <w:rtl/>
        </w:rPr>
        <w:t>חוק הגנת הדייר [נוסח משולב]</w:t>
      </w:r>
      <w:r>
        <w:rPr>
          <w:rFonts w:ascii="David" w:hAnsi="David" w:cs="David"/>
          <w:sz w:val="24"/>
          <w:szCs w:val="24"/>
          <w:rtl/>
        </w:rPr>
        <w:t xml:space="preserve">, תשל"ב – 1972. זכות זו </w:t>
      </w:r>
      <w:r>
        <w:rPr>
          <w:rFonts w:ascii="David" w:hAnsi="David" w:cs="David"/>
          <w:sz w:val="24"/>
          <w:szCs w:val="24"/>
          <w:u w:val="single"/>
          <w:rtl/>
        </w:rPr>
        <w:t>ניתן לפדות או להמיר לזכות כספית</w:t>
      </w:r>
      <w:r>
        <w:rPr>
          <w:rFonts w:ascii="David" w:hAnsi="David" w:cs="David"/>
          <w:sz w:val="24"/>
          <w:szCs w:val="24"/>
          <w:rtl/>
        </w:rPr>
        <w:t xml:space="preserve">, בכפוף לדין, בדרך של תשלום לדייר המוגן, ועל כך ארחיב גם בסעיף 8 להלן. </w:t>
      </w:r>
    </w:p>
    <w:p w:rsidR="0016772A" w:rsidRDefault="0016772A" w:rsidP="0016772A">
      <w:pPr>
        <w:pStyle w:val="ad"/>
        <w:spacing w:line="360" w:lineRule="auto"/>
        <w:ind w:left="253"/>
        <w:jc w:val="both"/>
        <w:rPr>
          <w:rFonts w:ascii="David" w:hAnsi="David" w:cs="David"/>
          <w:sz w:val="24"/>
          <w:szCs w:val="24"/>
        </w:rPr>
      </w:pPr>
    </w:p>
    <w:p w:rsidR="0016772A" w:rsidRDefault="0016772A" w:rsidP="0016772A">
      <w:pPr>
        <w:pStyle w:val="ad"/>
        <w:numPr>
          <w:ilvl w:val="0"/>
          <w:numId w:val="7"/>
        </w:numPr>
        <w:spacing w:line="360" w:lineRule="auto"/>
        <w:jc w:val="both"/>
        <w:rPr>
          <w:rFonts w:ascii="David" w:hAnsi="David" w:cs="David"/>
          <w:sz w:val="24"/>
          <w:szCs w:val="24"/>
        </w:rPr>
      </w:pPr>
      <w:r>
        <w:rPr>
          <w:rFonts w:ascii="David" w:hAnsi="David" w:cs="David"/>
          <w:sz w:val="24"/>
          <w:szCs w:val="24"/>
          <w:rtl/>
        </w:rPr>
        <w:t xml:space="preserve">אדם שאינו בעל זכות דיירות מוגנת, ממילא </w:t>
      </w:r>
      <w:r>
        <w:rPr>
          <w:rFonts w:ascii="David" w:hAnsi="David" w:cs="David"/>
          <w:sz w:val="24"/>
          <w:szCs w:val="24"/>
          <w:u w:val="single"/>
          <w:rtl/>
        </w:rPr>
        <w:t>אינו זכאי</w:t>
      </w:r>
      <w:r>
        <w:rPr>
          <w:rFonts w:ascii="David" w:hAnsi="David" w:cs="David"/>
          <w:sz w:val="24"/>
          <w:szCs w:val="24"/>
          <w:rtl/>
        </w:rPr>
        <w:t xml:space="preserve"> לזכות כלשהי מכח חוק הגנת הדייר. לא הוא וממילא לא יורשיו. ודוק, כיצד ניתן לפדות או להמיר בכסף זכות שפקעה מהעולם? ולעניינינו – לא ניתן לפדות או להמיר בכסף את זכות הדיירות המוגנת אשר נקבע שאינה קיימת.</w:t>
      </w:r>
    </w:p>
    <w:p w:rsidR="00FD754C" w:rsidRDefault="00FD754C" w:rsidP="00FD754C">
      <w:pPr>
        <w:pStyle w:val="ad"/>
        <w:spacing w:line="360" w:lineRule="auto"/>
        <w:ind w:left="613"/>
        <w:jc w:val="both"/>
        <w:rPr>
          <w:rFonts w:ascii="David" w:hAnsi="David" w:cs="David"/>
          <w:sz w:val="24"/>
          <w:szCs w:val="24"/>
          <w:rtl/>
        </w:rPr>
      </w:pPr>
    </w:p>
    <w:p w:rsidR="0016772A" w:rsidRDefault="0016772A" w:rsidP="0016772A">
      <w:pPr>
        <w:pStyle w:val="ad"/>
        <w:spacing w:line="360" w:lineRule="auto"/>
        <w:ind w:left="613"/>
        <w:jc w:val="both"/>
        <w:rPr>
          <w:rFonts w:ascii="David" w:hAnsi="David" w:cs="David"/>
          <w:color w:val="000000"/>
          <w:sz w:val="24"/>
          <w:szCs w:val="24"/>
          <w:rtl/>
        </w:rPr>
      </w:pPr>
      <w:r>
        <w:rPr>
          <w:rFonts w:ascii="David" w:hAnsi="David" w:cs="David"/>
          <w:sz w:val="24"/>
          <w:szCs w:val="24"/>
          <w:rtl/>
        </w:rPr>
        <w:t xml:space="preserve">ככל שתתקבל טענת התובעת לפיה היא זכאית לסך של 1,000,000 ₪ בגין זכות הדיירות המוגנת שהיתה לאם המנוחה, נמצא עצמנו עם שני פסקי דין הסותרים מהותית זה את זה. פסק הדין בהליך המקורי הקובע שלאם המנוחה אין זכויות כדיירת מוגנת; </w:t>
      </w:r>
      <w:r>
        <w:rPr>
          <w:rFonts w:ascii="David" w:hAnsi="David" w:cs="David"/>
          <w:sz w:val="24"/>
          <w:szCs w:val="24"/>
          <w:u w:val="single"/>
          <w:rtl/>
        </w:rPr>
        <w:t>ומנגד</w:t>
      </w:r>
      <w:r>
        <w:rPr>
          <w:rFonts w:ascii="David" w:hAnsi="David" w:cs="David"/>
          <w:sz w:val="24"/>
          <w:szCs w:val="24"/>
          <w:rtl/>
        </w:rPr>
        <w:t xml:space="preserve"> – </w:t>
      </w:r>
      <w:r>
        <w:rPr>
          <w:rFonts w:ascii="David" w:hAnsi="David" w:cs="David"/>
          <w:color w:val="000000"/>
          <w:sz w:val="24"/>
          <w:szCs w:val="24"/>
          <w:rtl/>
        </w:rPr>
        <w:t>פסק הדין שהתובעת מבקשת כאן, בו ייקבע שלאם המנוחה דווקא קיימות זכויות כדיירת מוגנת ואלה אפילו הועברו בירושה.</w:t>
      </w:r>
    </w:p>
    <w:p w:rsidR="0016772A" w:rsidRDefault="0016772A" w:rsidP="0016772A">
      <w:pPr>
        <w:pStyle w:val="ad"/>
        <w:spacing w:line="360" w:lineRule="auto"/>
        <w:ind w:left="253"/>
        <w:jc w:val="both"/>
        <w:rPr>
          <w:rFonts w:ascii="David" w:hAnsi="David" w:cs="David"/>
          <w:sz w:val="24"/>
          <w:szCs w:val="24"/>
        </w:rPr>
      </w:pPr>
    </w:p>
    <w:p w:rsidR="0016772A" w:rsidRDefault="0016772A" w:rsidP="0016772A">
      <w:pPr>
        <w:pStyle w:val="ad"/>
        <w:numPr>
          <w:ilvl w:val="0"/>
          <w:numId w:val="7"/>
        </w:numPr>
        <w:spacing w:line="360" w:lineRule="auto"/>
        <w:jc w:val="both"/>
        <w:rPr>
          <w:rFonts w:ascii="David" w:hAnsi="David" w:cs="David"/>
          <w:color w:val="000000"/>
          <w:sz w:val="24"/>
          <w:szCs w:val="24"/>
          <w:rtl/>
        </w:rPr>
      </w:pPr>
      <w:r>
        <w:rPr>
          <w:rFonts w:ascii="David" w:hAnsi="David" w:cs="David"/>
          <w:sz w:val="24"/>
          <w:szCs w:val="24"/>
          <w:rtl/>
        </w:rPr>
        <w:t xml:space="preserve">יש להימנע ממתן פסקי דין אשר יסתרו ישירות ומהותית קביעות שניתנו בפסקי דין חלוטים קודמים. הקביעה והסעד להם עותרת התובעת היא בפועל קביעה סותרת לפסק הדין החלוט בהליך המקורי. פסק דין ממנו עולה שלא קיימות זכויות דיירות מוגנת כאמור. </w:t>
      </w:r>
    </w:p>
    <w:p w:rsidR="0016772A" w:rsidRDefault="0016772A" w:rsidP="0016772A">
      <w:pPr>
        <w:pStyle w:val="ad"/>
        <w:spacing w:line="360" w:lineRule="auto"/>
        <w:ind w:left="613"/>
        <w:jc w:val="both"/>
        <w:rPr>
          <w:rFonts w:ascii="David" w:hAnsi="David" w:cs="David"/>
          <w:color w:val="000000"/>
          <w:sz w:val="24"/>
          <w:szCs w:val="24"/>
        </w:rPr>
      </w:pPr>
      <w:r>
        <w:rPr>
          <w:rFonts w:ascii="David" w:hAnsi="David" w:cs="David"/>
          <w:sz w:val="24"/>
          <w:szCs w:val="24"/>
          <w:rtl/>
        </w:rPr>
        <w:t>יובהר שפסק הדין החלוט יוצר השתק ומניעות גם כלפי התובעת – הגם שלא היתה בעלת דין בהליך המקורי. לענין השתק, גם כלפי מי שלא היה בעל דין בהליך המקורי אפנה אל ע"א 7138/16,</w:t>
      </w:r>
      <w:r>
        <w:rPr>
          <w:rFonts w:ascii="David" w:hAnsi="David" w:cs="David"/>
          <w:color w:val="000000"/>
          <w:sz w:val="24"/>
          <w:szCs w:val="24"/>
          <w:rtl/>
        </w:rPr>
        <w:t xml:space="preserve">  </w:t>
      </w:r>
      <w:r>
        <w:rPr>
          <w:rFonts w:ascii="David" w:hAnsi="David" w:cs="David"/>
          <w:color w:val="000000"/>
          <w:sz w:val="24"/>
          <w:szCs w:val="24"/>
          <w:u w:val="single"/>
        </w:rPr>
        <w:t>PRAXIS ENERGY AGENTS GMBH</w:t>
      </w:r>
      <w:r>
        <w:rPr>
          <w:rFonts w:ascii="David" w:hAnsi="David" w:cs="David"/>
          <w:color w:val="000000"/>
          <w:sz w:val="24"/>
          <w:szCs w:val="24"/>
          <w:u w:val="single"/>
          <w:rtl/>
        </w:rPr>
        <w:t>‏ נ' האונייה ‏</w:t>
      </w:r>
      <w:r>
        <w:rPr>
          <w:rFonts w:ascii="David" w:hAnsi="David" w:cs="David"/>
          <w:color w:val="000000"/>
          <w:sz w:val="24"/>
          <w:szCs w:val="24"/>
          <w:u w:val="single"/>
        </w:rPr>
        <w:t>M/V CAPTAIN HARRY</w:t>
      </w:r>
      <w:r>
        <w:rPr>
          <w:rFonts w:ascii="David" w:hAnsi="David" w:cs="David"/>
          <w:color w:val="000000"/>
          <w:sz w:val="24"/>
          <w:szCs w:val="24"/>
          <w:rtl/>
        </w:rPr>
        <w:t xml:space="preserve"> (מיום 7/5/2018, הש' נ' הנדל, הש' נ' סולברג, הש' י' אלרון); עוד אפנה אל ע"א 735/07, </w:t>
      </w:r>
      <w:r>
        <w:rPr>
          <w:rFonts w:ascii="David" w:hAnsi="David" w:cs="David"/>
          <w:color w:val="000000"/>
          <w:sz w:val="24"/>
          <w:szCs w:val="24"/>
          <w:u w:val="single"/>
          <w:rtl/>
        </w:rPr>
        <w:t>צמרות חברה לבניין נ' בנק מזרחי-טפחות </w:t>
      </w:r>
      <w:r>
        <w:rPr>
          <w:rFonts w:ascii="David" w:hAnsi="David" w:cs="David"/>
          <w:color w:val="000000"/>
          <w:sz w:val="24"/>
          <w:szCs w:val="24"/>
          <w:rtl/>
        </w:rPr>
        <w:t>(מיום 5/1/2011, הש' א' פרוקצ'יה, הש' ע' ארבל, הש' ח' מלצר). בנוסף ר' ספרו של המלומד יששכר רוזן-צבי, ההליך האזרחי (2015) בע"מ 518 המפנה אל </w:t>
      </w:r>
      <w:r>
        <w:rPr>
          <w:rFonts w:ascii="David" w:hAnsi="David" w:cs="David"/>
          <w:b/>
          <w:bCs/>
          <w:color w:val="000000"/>
          <w:sz w:val="24"/>
          <w:szCs w:val="24"/>
          <w:shd w:val="clear" w:color="auto" w:fill="FFFFFF"/>
        </w:rPr>
        <w:t>"</w:t>
      </w:r>
      <w:r>
        <w:rPr>
          <w:rFonts w:ascii="David" w:hAnsi="David" w:cs="David"/>
          <w:b/>
          <w:bCs/>
          <w:color w:val="000000"/>
          <w:sz w:val="24"/>
          <w:szCs w:val="24"/>
          <w:shd w:val="clear" w:color="auto" w:fill="FFFFFF"/>
          <w:rtl/>
        </w:rPr>
        <w:t>התכליות המוכרות שבבסיס השתק העילה הקלאסי – סופיות הדיון והאינטרס הציבורי להביא לסיומם של סכסוכים בין מתדיינים במלואם ובאופן סופי; מתן תמריץ לבעלי דין למצות את מלוא טענותיהם ואת כלל הסעדים במסגרת תובענה אחת, ובכך לחסוך במשאבי שיפוט ולמנוע הטרדת בעלי דין פעם נוספת בעניינים שכבר נדונו; ומניעת הכרעות סותרות</w:t>
      </w:r>
      <w:r>
        <w:rPr>
          <w:rFonts w:ascii="David" w:hAnsi="David" w:cs="David"/>
          <w:b/>
          <w:bCs/>
          <w:color w:val="000000"/>
          <w:sz w:val="24"/>
          <w:szCs w:val="24"/>
          <w:shd w:val="clear" w:color="auto" w:fill="FFFFFF"/>
        </w:rPr>
        <w:t>"</w:t>
      </w:r>
      <w:r>
        <w:rPr>
          <w:rFonts w:ascii="David" w:hAnsi="David" w:cs="David"/>
          <w:color w:val="000000"/>
          <w:sz w:val="24"/>
          <w:szCs w:val="24"/>
          <w:rtl/>
        </w:rPr>
        <w:t>.</w:t>
      </w:r>
    </w:p>
    <w:p w:rsidR="0016772A" w:rsidRDefault="0016772A" w:rsidP="0016772A">
      <w:pPr>
        <w:pStyle w:val="ad"/>
        <w:spacing w:after="0" w:line="330" w:lineRule="atLeast"/>
        <w:ind w:left="395"/>
        <w:jc w:val="both"/>
        <w:rPr>
          <w:rFonts w:ascii="Calibri" w:hAnsi="Calibri" w:cs="Calibri"/>
          <w:color w:val="000000"/>
          <w:rtl/>
        </w:rPr>
      </w:pPr>
      <w:r>
        <w:rPr>
          <w:rFonts w:ascii="David" w:hAnsi="David" w:cs="David"/>
          <w:color w:val="000000"/>
        </w:rPr>
        <w:t> </w:t>
      </w:r>
    </w:p>
    <w:p w:rsidR="00FD754C" w:rsidRDefault="00FD754C" w:rsidP="0016772A">
      <w:pPr>
        <w:pStyle w:val="ad"/>
        <w:spacing w:after="0" w:line="330" w:lineRule="atLeast"/>
        <w:ind w:left="395"/>
        <w:jc w:val="both"/>
        <w:rPr>
          <w:rFonts w:ascii="Calibri" w:hAnsi="Calibri" w:cs="Calibri"/>
          <w:color w:val="000000"/>
        </w:rPr>
      </w:pPr>
    </w:p>
    <w:p w:rsidR="0016772A" w:rsidRDefault="0016772A" w:rsidP="00242D9E">
      <w:pPr>
        <w:pStyle w:val="ad"/>
        <w:numPr>
          <w:ilvl w:val="0"/>
          <w:numId w:val="1"/>
        </w:numPr>
        <w:spacing w:line="360" w:lineRule="auto"/>
        <w:ind w:left="-172" w:hanging="284"/>
        <w:jc w:val="both"/>
        <w:rPr>
          <w:rFonts w:ascii="David" w:hAnsi="David" w:cs="David"/>
          <w:sz w:val="24"/>
          <w:szCs w:val="24"/>
          <w:rtl/>
        </w:rPr>
      </w:pPr>
      <w:r>
        <w:rPr>
          <w:rFonts w:ascii="David" w:hAnsi="David" w:cs="David"/>
          <w:b/>
          <w:bCs/>
          <w:sz w:val="24"/>
          <w:szCs w:val="24"/>
          <w:u w:val="single"/>
          <w:rtl/>
        </w:rPr>
        <w:lastRenderedPageBreak/>
        <w:t>נימוק שני משלושה לדחיית התביעה - אין לקבל טענה לפיה גם עם פקיעת הזכות לדיירות מוגנת, עדיין קיימת לה זכות אחרת</w:t>
      </w:r>
      <w:r w:rsidR="00242D9E">
        <w:rPr>
          <w:rFonts w:ascii="David" w:hAnsi="David" w:cs="David" w:hint="cs"/>
          <w:b/>
          <w:bCs/>
          <w:sz w:val="24"/>
          <w:szCs w:val="24"/>
          <w:u w:val="single"/>
          <w:rtl/>
        </w:rPr>
        <w:t xml:space="preserve">. </w:t>
      </w:r>
      <w:r>
        <w:rPr>
          <w:rFonts w:ascii="David" w:hAnsi="David" w:cs="David"/>
          <w:b/>
          <w:bCs/>
          <w:sz w:val="24"/>
          <w:szCs w:val="24"/>
          <w:u w:val="single"/>
          <w:rtl/>
        </w:rPr>
        <w:t xml:space="preserve">"זכות כספית" לפדיון זכות </w:t>
      </w:r>
      <w:r w:rsidR="00242D9E">
        <w:rPr>
          <w:rFonts w:ascii="David" w:hAnsi="David" w:cs="David" w:hint="cs"/>
          <w:b/>
          <w:bCs/>
          <w:sz w:val="24"/>
          <w:szCs w:val="24"/>
          <w:u w:val="single"/>
          <w:rtl/>
        </w:rPr>
        <w:t xml:space="preserve">הדיירות המוגנת </w:t>
      </w:r>
      <w:r>
        <w:rPr>
          <w:rFonts w:ascii="David" w:hAnsi="David" w:cs="David"/>
          <w:b/>
          <w:bCs/>
          <w:sz w:val="24"/>
          <w:szCs w:val="24"/>
          <w:u w:val="single"/>
          <w:rtl/>
        </w:rPr>
        <w:t>שכבר אינה קיימת</w:t>
      </w:r>
    </w:p>
    <w:p w:rsidR="0016772A" w:rsidRDefault="0016772A" w:rsidP="0016772A">
      <w:pPr>
        <w:pStyle w:val="ad"/>
        <w:numPr>
          <w:ilvl w:val="1"/>
          <w:numId w:val="1"/>
        </w:numPr>
        <w:spacing w:line="360" w:lineRule="auto"/>
        <w:ind w:left="253" w:hanging="425"/>
        <w:jc w:val="both"/>
        <w:rPr>
          <w:rFonts w:ascii="David" w:hAnsi="David" w:cs="David"/>
          <w:sz w:val="24"/>
          <w:szCs w:val="24"/>
        </w:rPr>
      </w:pPr>
      <w:r>
        <w:rPr>
          <w:rFonts w:ascii="David" w:hAnsi="David" w:cs="David"/>
          <w:sz w:val="24"/>
          <w:szCs w:val="24"/>
          <w:rtl/>
        </w:rPr>
        <w:t>התובעת מנסה לטעון לזכות עצמאית, שכלל אינה קיימת. זכות המכונה על ידה "זכות כספית" אשר נלווית לזכות הדיירות המוגנת, ואשר נותרה קיימת גם לאחר שזכות הדיירות המוגנת פקעה.</w:t>
      </w:r>
    </w:p>
    <w:p w:rsidR="0016772A" w:rsidRDefault="0016772A" w:rsidP="0016772A">
      <w:pPr>
        <w:pStyle w:val="ad"/>
        <w:spacing w:line="360" w:lineRule="auto"/>
        <w:ind w:left="253"/>
        <w:jc w:val="both"/>
        <w:rPr>
          <w:rFonts w:ascii="David" w:hAnsi="David" w:cs="David"/>
          <w:sz w:val="24"/>
          <w:szCs w:val="24"/>
        </w:rPr>
      </w:pPr>
    </w:p>
    <w:p w:rsidR="0016772A" w:rsidRDefault="0016772A" w:rsidP="0016772A">
      <w:pPr>
        <w:pStyle w:val="ad"/>
        <w:numPr>
          <w:ilvl w:val="1"/>
          <w:numId w:val="1"/>
        </w:numPr>
        <w:spacing w:line="360" w:lineRule="auto"/>
        <w:ind w:left="253" w:hanging="425"/>
        <w:jc w:val="both"/>
        <w:rPr>
          <w:rFonts w:ascii="David" w:hAnsi="David" w:cs="David"/>
          <w:sz w:val="24"/>
          <w:szCs w:val="24"/>
        </w:rPr>
      </w:pPr>
      <w:r>
        <w:rPr>
          <w:rFonts w:ascii="David" w:hAnsi="David" w:cs="David"/>
          <w:sz w:val="24"/>
          <w:szCs w:val="24"/>
          <w:rtl/>
        </w:rPr>
        <w:t>אין לקבל טענה זו. הזכות העיקרית לדייר הנובעת מחוק הגנת הדייר, היא זכות הדיירות המוגנת. לענין זה ר' פירוט "זכויות חובות" כאמור בהרחבה בסעיפים 19-73 לחוק הגנת הדייר. מכח זכות הדיירות המוגנת קמות זכויות משנה נוספות שאף הן מוגדרות בחוק, אך אף אחת מזכויות המשנה אינה עומדת בפני עצמה. ובמילים אחרות – אדם אשר אינו נהנה מזכות הדיירות המוגנת – אינו יכול לתבוע קיומן של זכויות המשנה מכח החוק.</w:t>
      </w:r>
    </w:p>
    <w:p w:rsidR="0016772A" w:rsidRDefault="0016772A" w:rsidP="0016772A">
      <w:pPr>
        <w:pStyle w:val="ad"/>
        <w:spacing w:line="360" w:lineRule="auto"/>
        <w:ind w:left="253"/>
        <w:jc w:val="both"/>
        <w:rPr>
          <w:rFonts w:ascii="David" w:hAnsi="David" w:cs="David"/>
          <w:sz w:val="24"/>
          <w:szCs w:val="24"/>
        </w:rPr>
      </w:pPr>
    </w:p>
    <w:p w:rsidR="0016772A" w:rsidRDefault="0016772A" w:rsidP="0016772A">
      <w:pPr>
        <w:pStyle w:val="ad"/>
        <w:numPr>
          <w:ilvl w:val="1"/>
          <w:numId w:val="1"/>
        </w:numPr>
        <w:spacing w:line="360" w:lineRule="auto"/>
        <w:ind w:left="253" w:hanging="425"/>
        <w:jc w:val="both"/>
        <w:rPr>
          <w:rFonts w:ascii="David" w:hAnsi="David" w:cs="David"/>
          <w:sz w:val="24"/>
          <w:szCs w:val="24"/>
        </w:rPr>
      </w:pPr>
      <w:r>
        <w:rPr>
          <w:rFonts w:ascii="David" w:hAnsi="David" w:cs="David"/>
          <w:b/>
          <w:bCs/>
          <w:sz w:val="24"/>
          <w:szCs w:val="24"/>
          <w:u w:val="single"/>
          <w:rtl/>
        </w:rPr>
        <w:t>"הזכות הכספית" הנטענת, היא זכות טפלה לזכות הדיירות המוגנת. בהיעדר זכות דיירות מוגנת ממילא לא קיימת הזכות הכספית</w:t>
      </w:r>
    </w:p>
    <w:p w:rsidR="0016772A" w:rsidRDefault="0016772A" w:rsidP="0016772A">
      <w:pPr>
        <w:pStyle w:val="ad"/>
        <w:numPr>
          <w:ilvl w:val="0"/>
          <w:numId w:val="8"/>
        </w:numPr>
        <w:spacing w:line="360" w:lineRule="auto"/>
        <w:jc w:val="both"/>
        <w:rPr>
          <w:rFonts w:ascii="David" w:hAnsi="David" w:cs="David"/>
          <w:sz w:val="24"/>
          <w:szCs w:val="24"/>
        </w:rPr>
      </w:pPr>
      <w:r>
        <w:rPr>
          <w:rFonts w:ascii="David" w:hAnsi="David" w:cs="David"/>
          <w:sz w:val="24"/>
          <w:szCs w:val="24"/>
          <w:rtl/>
        </w:rPr>
        <w:t xml:space="preserve">הזכות הכספית לה טוענת התובעת, היא זכות הנובעת מתשלום חלק מדמי המפתח ל"דייר יוצא". קרי, דייר אשר הוא </w:t>
      </w:r>
      <w:r>
        <w:rPr>
          <w:rFonts w:ascii="David" w:hAnsi="David" w:cs="David"/>
          <w:sz w:val="24"/>
          <w:szCs w:val="24"/>
          <w:u w:val="single"/>
          <w:rtl/>
        </w:rPr>
        <w:t>בעל זכויות דיירות מוגנת</w:t>
      </w:r>
      <w:r>
        <w:rPr>
          <w:rFonts w:ascii="David" w:hAnsi="David" w:cs="David"/>
          <w:sz w:val="24"/>
          <w:szCs w:val="24"/>
          <w:rtl/>
        </w:rPr>
        <w:t xml:space="preserve"> ועוזב את הנכס </w:t>
      </w:r>
      <w:r>
        <w:rPr>
          <w:rFonts w:ascii="David" w:hAnsi="David" w:cs="David"/>
          <w:sz w:val="24"/>
          <w:szCs w:val="24"/>
          <w:u w:val="single"/>
          <w:rtl/>
        </w:rPr>
        <w:t>בעודו בעל זכויות</w:t>
      </w:r>
      <w:r>
        <w:rPr>
          <w:rFonts w:ascii="David" w:hAnsi="David" w:cs="David"/>
          <w:sz w:val="24"/>
          <w:szCs w:val="24"/>
          <w:rtl/>
        </w:rPr>
        <w:t>.  לענין זה קובע סעיף 74 לחוק הגנת הדייר כך (ההדגשות לא במקור):</w:t>
      </w:r>
    </w:p>
    <w:p w:rsidR="0016772A" w:rsidRDefault="0016772A" w:rsidP="0016772A">
      <w:pPr>
        <w:pStyle w:val="ad"/>
        <w:spacing w:line="360" w:lineRule="auto"/>
        <w:ind w:left="1103"/>
        <w:jc w:val="both"/>
        <w:rPr>
          <w:rFonts w:ascii="David" w:hAnsi="David" w:cs="David"/>
          <w:b/>
          <w:bCs/>
          <w:sz w:val="24"/>
          <w:szCs w:val="24"/>
        </w:rPr>
      </w:pPr>
      <w:r>
        <w:rPr>
          <w:rFonts w:ascii="Arial" w:hAnsi="Arial" w:cs="David"/>
          <w:b/>
          <w:bCs/>
          <w:color w:val="000000"/>
          <w:sz w:val="21"/>
          <w:szCs w:val="24"/>
          <w:shd w:val="clear" w:color="auto" w:fill="FFFFFF"/>
          <w:rtl/>
        </w:rPr>
        <w:t>"</w:t>
      </w:r>
      <w:r>
        <w:rPr>
          <w:rFonts w:ascii="Arial" w:hAnsi="Arial" w:cs="David"/>
          <w:b/>
          <w:bCs/>
          <w:color w:val="000000"/>
          <w:sz w:val="21"/>
          <w:szCs w:val="24"/>
          <w:u w:val="single"/>
          <w:shd w:val="clear" w:color="auto" w:fill="FFFFFF"/>
          <w:rtl/>
        </w:rPr>
        <w:t>דייר יוצא</w:t>
      </w:r>
      <w:r>
        <w:rPr>
          <w:rFonts w:ascii="Arial" w:hAnsi="Arial" w:cs="David"/>
          <w:b/>
          <w:bCs/>
          <w:color w:val="000000"/>
          <w:sz w:val="21"/>
          <w:szCs w:val="24"/>
          <w:shd w:val="clear" w:color="auto" w:fill="FFFFFF"/>
          <w:rtl/>
        </w:rPr>
        <w:t xml:space="preserve"> זכאי לחלק בדמי המפתח הניתנים, או העשויים לינתן, מאת הדייר המוצע או בשבילו</w:t>
      </w:r>
      <w:r>
        <w:rPr>
          <w:rFonts w:ascii="Arial" w:hAnsi="Arial" w:cs="David"/>
          <w:b/>
          <w:bCs/>
          <w:color w:val="000000"/>
          <w:sz w:val="21"/>
          <w:szCs w:val="24"/>
          <w:shd w:val="clear" w:color="auto" w:fill="FFFFFF"/>
        </w:rPr>
        <w:t>"</w:t>
      </w:r>
    </w:p>
    <w:p w:rsidR="0016772A" w:rsidRDefault="0016772A" w:rsidP="0016772A">
      <w:pPr>
        <w:pStyle w:val="ad"/>
        <w:spacing w:line="360" w:lineRule="auto"/>
        <w:ind w:left="613"/>
        <w:jc w:val="both"/>
        <w:rPr>
          <w:rFonts w:ascii="David" w:hAnsi="David" w:cs="David"/>
          <w:sz w:val="24"/>
          <w:szCs w:val="24"/>
        </w:rPr>
      </w:pPr>
    </w:p>
    <w:p w:rsidR="0016772A" w:rsidRDefault="0016772A" w:rsidP="0016772A">
      <w:pPr>
        <w:pStyle w:val="ad"/>
        <w:spacing w:line="360" w:lineRule="auto"/>
        <w:ind w:left="613"/>
        <w:jc w:val="both"/>
        <w:rPr>
          <w:rFonts w:ascii="David" w:hAnsi="David" w:cs="David"/>
          <w:sz w:val="24"/>
          <w:szCs w:val="24"/>
          <w:rtl/>
        </w:rPr>
      </w:pPr>
      <w:r>
        <w:rPr>
          <w:rFonts w:ascii="David" w:hAnsi="David" w:cs="David"/>
          <w:sz w:val="24"/>
          <w:szCs w:val="24"/>
          <w:rtl/>
        </w:rPr>
        <w:t xml:space="preserve">ומה החלק בדמי המפתח לו זכאי </w:t>
      </w:r>
      <w:r>
        <w:rPr>
          <w:rFonts w:ascii="David" w:hAnsi="David" w:cs="David"/>
          <w:sz w:val="24"/>
          <w:szCs w:val="24"/>
          <w:u w:val="single"/>
          <w:rtl/>
        </w:rPr>
        <w:t>דייר יוצא</w:t>
      </w:r>
      <w:r>
        <w:rPr>
          <w:rFonts w:ascii="David" w:hAnsi="David" w:cs="David"/>
          <w:sz w:val="24"/>
          <w:szCs w:val="24"/>
          <w:rtl/>
        </w:rPr>
        <w:t xml:space="preserve">? לענין זה קובעים סעיפים 75-77 לחוק הגנת הדייר מדרגות חלוקה שונות של דמי המפתח, בהתאם לקריטריונים שפורטו בחוק. הרלוונטי לעניינינו הוא הקריטריון שנקבע בסעיף 76 לחוק ולפיו דיירת שהחלה להחזיק במושכר לפני שנת תשי"ח, בדומה לאם המנוחה של התובעת, תהיה זכאית לחלק מדמי המפתח השווה ל 66.67%, וכהגדרת החוק  - </w:t>
      </w:r>
      <w:r>
        <w:rPr>
          <w:rFonts w:ascii="David" w:hAnsi="David" w:cs="David"/>
          <w:b/>
          <w:bCs/>
          <w:sz w:val="24"/>
          <w:szCs w:val="24"/>
          <w:rtl/>
        </w:rPr>
        <w:t>"ששים ושישה ושני שלישי אחוזים"</w:t>
      </w:r>
      <w:r>
        <w:rPr>
          <w:rFonts w:ascii="David" w:hAnsi="David" w:cs="David"/>
          <w:sz w:val="24"/>
          <w:szCs w:val="24"/>
          <w:rtl/>
        </w:rPr>
        <w:t>.</w:t>
      </w:r>
    </w:p>
    <w:p w:rsidR="0016772A" w:rsidRDefault="0016772A" w:rsidP="0016772A">
      <w:pPr>
        <w:pStyle w:val="ad"/>
        <w:spacing w:line="360" w:lineRule="auto"/>
        <w:ind w:left="613"/>
        <w:jc w:val="both"/>
        <w:rPr>
          <w:rFonts w:ascii="David" w:hAnsi="David" w:cs="David"/>
          <w:sz w:val="24"/>
          <w:szCs w:val="24"/>
          <w:rtl/>
        </w:rPr>
      </w:pPr>
    </w:p>
    <w:p w:rsidR="0016772A" w:rsidRDefault="0016772A" w:rsidP="0016772A">
      <w:pPr>
        <w:pStyle w:val="ad"/>
        <w:numPr>
          <w:ilvl w:val="0"/>
          <w:numId w:val="8"/>
        </w:numPr>
        <w:spacing w:line="360" w:lineRule="auto"/>
        <w:jc w:val="both"/>
        <w:rPr>
          <w:rFonts w:ascii="David" w:hAnsi="David" w:cs="David"/>
          <w:sz w:val="24"/>
          <w:szCs w:val="24"/>
          <w:rtl/>
        </w:rPr>
      </w:pPr>
      <w:r>
        <w:rPr>
          <w:rFonts w:ascii="David" w:hAnsi="David" w:cs="David"/>
          <w:sz w:val="24"/>
          <w:szCs w:val="24"/>
          <w:rtl/>
        </w:rPr>
        <w:t xml:space="preserve"> אך יש להדגיש - הזכות לקבל חלק מדמי המפתח, היא זכות הקמה רק למי שהוא דייר מוגן. זכות זו טפלה לזכות הדיירות המוגנת. טול מאדם את זכות הדיירות המוגנת, וממילא תיעלם ותתאיין גם הזכות לקבלת "חלק מדמי המפתח".</w:t>
      </w:r>
    </w:p>
    <w:p w:rsidR="0016772A" w:rsidRDefault="0016772A" w:rsidP="0016772A">
      <w:pPr>
        <w:pStyle w:val="ad"/>
        <w:spacing w:line="360" w:lineRule="auto"/>
        <w:ind w:left="613"/>
        <w:jc w:val="both"/>
        <w:rPr>
          <w:rFonts w:ascii="David" w:hAnsi="David" w:cs="David"/>
          <w:sz w:val="24"/>
          <w:szCs w:val="24"/>
        </w:rPr>
      </w:pPr>
    </w:p>
    <w:p w:rsidR="0016772A" w:rsidRDefault="0016772A" w:rsidP="0016772A">
      <w:pPr>
        <w:pStyle w:val="ad"/>
        <w:spacing w:line="360" w:lineRule="auto"/>
        <w:ind w:left="613"/>
        <w:jc w:val="both"/>
        <w:rPr>
          <w:rFonts w:ascii="David" w:hAnsi="David" w:cs="David"/>
          <w:sz w:val="24"/>
          <w:szCs w:val="24"/>
          <w:rtl/>
        </w:rPr>
      </w:pPr>
      <w:r>
        <w:rPr>
          <w:rFonts w:ascii="David" w:hAnsi="David" w:cs="David"/>
          <w:sz w:val="24"/>
          <w:szCs w:val="24"/>
          <w:rtl/>
        </w:rPr>
        <w:t>גם מבחינה מהותית, תשלום החלק מדמי המפתח הוא בפועל פדיון זכות הדיירות המוגנת או המרתו לזכות כספית. וכאשר לא קיימת זכות לדיירות מוגנת, הרי ממילא לא ניתן לפדות אותה או להמירה לזכות כספית.</w:t>
      </w:r>
    </w:p>
    <w:p w:rsidR="0016772A" w:rsidRDefault="0016772A" w:rsidP="0016772A">
      <w:pPr>
        <w:pStyle w:val="ad"/>
        <w:spacing w:line="360" w:lineRule="auto"/>
        <w:ind w:left="613"/>
        <w:jc w:val="both"/>
        <w:rPr>
          <w:rFonts w:ascii="David" w:hAnsi="David" w:cs="David"/>
          <w:sz w:val="24"/>
          <w:szCs w:val="24"/>
          <w:rtl/>
        </w:rPr>
      </w:pPr>
    </w:p>
    <w:p w:rsidR="0016772A" w:rsidRDefault="0016772A" w:rsidP="0016772A">
      <w:pPr>
        <w:pStyle w:val="ad"/>
        <w:spacing w:line="360" w:lineRule="auto"/>
        <w:ind w:left="613"/>
        <w:jc w:val="both"/>
        <w:rPr>
          <w:rFonts w:ascii="David" w:hAnsi="David" w:cs="David"/>
          <w:sz w:val="24"/>
          <w:szCs w:val="24"/>
          <w:rtl/>
        </w:rPr>
      </w:pPr>
      <w:r>
        <w:rPr>
          <w:rFonts w:ascii="David" w:hAnsi="David" w:cs="David"/>
          <w:sz w:val="24"/>
          <w:szCs w:val="24"/>
          <w:rtl/>
        </w:rPr>
        <w:lastRenderedPageBreak/>
        <w:t xml:space="preserve">לא ניתן לטעון לתשלום מכח זכות הדיירות המוגנת – כאשר זכות זו אינה קיימת. ומכאן, לא ניתן לקבוע שלאם המנוחה ולתובעת כיורשת יש זכות כספית מכח הדיירות המוגנת – שכן הזכות לדיירות מוגנת פקעה. </w:t>
      </w:r>
    </w:p>
    <w:p w:rsidR="0016772A" w:rsidRDefault="0016772A" w:rsidP="0016772A">
      <w:pPr>
        <w:pStyle w:val="ad"/>
        <w:spacing w:line="360" w:lineRule="auto"/>
        <w:ind w:left="255"/>
        <w:jc w:val="both"/>
        <w:rPr>
          <w:rFonts w:ascii="David" w:hAnsi="David" w:cs="David"/>
          <w:sz w:val="24"/>
          <w:szCs w:val="24"/>
          <w:rtl/>
        </w:rPr>
      </w:pPr>
      <w:r>
        <w:rPr>
          <w:rFonts w:ascii="David" w:hAnsi="David" w:cs="David"/>
          <w:sz w:val="24"/>
          <w:szCs w:val="24"/>
          <w:rtl/>
        </w:rPr>
        <w:t xml:space="preserve"> </w:t>
      </w:r>
    </w:p>
    <w:p w:rsidR="0016772A" w:rsidRDefault="0016772A" w:rsidP="0016772A">
      <w:pPr>
        <w:pStyle w:val="ad"/>
        <w:numPr>
          <w:ilvl w:val="1"/>
          <w:numId w:val="1"/>
        </w:numPr>
        <w:spacing w:line="360" w:lineRule="auto"/>
        <w:ind w:left="253" w:hanging="425"/>
        <w:jc w:val="both"/>
        <w:rPr>
          <w:rFonts w:ascii="David" w:hAnsi="David" w:cs="David"/>
          <w:sz w:val="24"/>
          <w:szCs w:val="24"/>
          <w:rtl/>
        </w:rPr>
      </w:pPr>
      <w:r>
        <w:rPr>
          <w:rFonts w:ascii="David" w:hAnsi="David" w:cs="David"/>
          <w:sz w:val="24"/>
          <w:szCs w:val="24"/>
          <w:rtl/>
        </w:rPr>
        <w:t xml:space="preserve">התובעת ביקשה לחזק את גרסתה תוך הפניה להחלטת ביניים של בית משפט השלום בבקשה לסילוק על הסף שנדחתה. ההחלטה ניתנה במסגרת </w:t>
      </w:r>
      <w:r>
        <w:rPr>
          <w:rFonts w:ascii="David" w:hAnsi="David" w:cs="David"/>
          <w:color w:val="000000"/>
          <w:sz w:val="24"/>
          <w:szCs w:val="24"/>
          <w:rtl/>
        </w:rPr>
        <w:t xml:space="preserve">בש"א (שלום פ"ת) 959/06‏ ‏ בת"א 4871/05, </w:t>
      </w:r>
      <w:r>
        <w:rPr>
          <w:rFonts w:ascii="David" w:hAnsi="David" w:cs="David"/>
          <w:color w:val="000000"/>
          <w:sz w:val="24"/>
          <w:szCs w:val="24"/>
          <w:u w:val="single"/>
          <w:rtl/>
        </w:rPr>
        <w:t>פאלקוב מאיר נ' הרב בכרך אהרן</w:t>
      </w:r>
      <w:r>
        <w:rPr>
          <w:rFonts w:ascii="David" w:hAnsi="David" w:cs="David"/>
          <w:sz w:val="24"/>
          <w:szCs w:val="24"/>
          <w:rtl/>
        </w:rPr>
        <w:t xml:space="preserve"> (מיום 11/9/2006, השופטת נ' דיסקין) והפנתה לדעת המיעוט (כב' השופטת א' פרוקצ'יה) בפסק דין של בית המשפט המחוזי במסגרת </w:t>
      </w:r>
      <w:r>
        <w:rPr>
          <w:rFonts w:ascii="David" w:hAnsi="David" w:cs="David"/>
          <w:color w:val="000000"/>
          <w:sz w:val="24"/>
          <w:szCs w:val="24"/>
          <w:rtl/>
        </w:rPr>
        <w:t xml:space="preserve">ע"א (מחוזי י-ם) 2006/96‏, </w:t>
      </w:r>
      <w:r>
        <w:rPr>
          <w:rFonts w:ascii="David" w:hAnsi="David" w:cs="David"/>
          <w:color w:val="000000"/>
          <w:sz w:val="24"/>
          <w:szCs w:val="24"/>
          <w:u w:val="single"/>
          <w:rtl/>
        </w:rPr>
        <w:t>קצין התגמולים נ' אלמליח</w:t>
      </w:r>
      <w:r>
        <w:rPr>
          <w:rFonts w:ascii="David" w:hAnsi="David" w:cs="David"/>
          <w:sz w:val="24"/>
          <w:szCs w:val="24"/>
          <w:rtl/>
        </w:rPr>
        <w:t xml:space="preserve"> (מיום 24/8/1998, הש' צ' כהן, השופטת י' הכט, השופטת א' פרוקצ'יה). במלוא הכבוד, אין ללמוד מהאמור לעיל אודות קיומה של זכות עצמאית ונפרדת מזכות הדיירות המוגנת ולענין זה יובאו הדברים הבאים:</w:t>
      </w:r>
    </w:p>
    <w:p w:rsidR="0016772A" w:rsidRDefault="0016772A" w:rsidP="0016772A">
      <w:pPr>
        <w:pStyle w:val="ad"/>
        <w:spacing w:line="360" w:lineRule="auto"/>
        <w:ind w:left="253"/>
        <w:jc w:val="both"/>
        <w:rPr>
          <w:rFonts w:ascii="David" w:hAnsi="David" w:cs="David"/>
          <w:sz w:val="24"/>
          <w:szCs w:val="24"/>
        </w:rPr>
      </w:pPr>
    </w:p>
    <w:p w:rsidR="0016772A" w:rsidRDefault="0016772A" w:rsidP="0016772A">
      <w:pPr>
        <w:pStyle w:val="ad"/>
        <w:numPr>
          <w:ilvl w:val="0"/>
          <w:numId w:val="9"/>
        </w:numPr>
        <w:spacing w:line="360" w:lineRule="auto"/>
        <w:jc w:val="both"/>
        <w:rPr>
          <w:rFonts w:ascii="David" w:hAnsi="David" w:cs="David"/>
          <w:sz w:val="24"/>
          <w:szCs w:val="24"/>
          <w:rtl/>
        </w:rPr>
      </w:pPr>
      <w:r>
        <w:rPr>
          <w:rFonts w:ascii="David" w:hAnsi="David" w:cs="David"/>
          <w:b/>
          <w:bCs/>
          <w:sz w:val="24"/>
          <w:szCs w:val="24"/>
          <w:u w:val="single"/>
          <w:rtl/>
        </w:rPr>
        <w:t>ראשית</w:t>
      </w:r>
      <w:r>
        <w:rPr>
          <w:rFonts w:ascii="David" w:hAnsi="David" w:cs="David"/>
          <w:sz w:val="24"/>
          <w:szCs w:val="24"/>
          <w:rtl/>
        </w:rPr>
        <w:t>, ההחלטה אותה מצטטת התובעת היא החלטת ביניים של בית משפט שלום. החלטה שבמלוא הכבוד אינה מחייבת ואף אינה מנחה – ובפועל גם לא הכריע בתביעה בין הצדדים. באשר  להכרעה הסופית ארחיב בפסקה הבאה.</w:t>
      </w:r>
    </w:p>
    <w:p w:rsidR="0016772A" w:rsidRDefault="0016772A" w:rsidP="0016772A">
      <w:pPr>
        <w:pStyle w:val="ad"/>
        <w:spacing w:line="360" w:lineRule="auto"/>
        <w:ind w:left="613"/>
        <w:jc w:val="both"/>
        <w:rPr>
          <w:rFonts w:ascii="David" w:hAnsi="David" w:cs="David"/>
          <w:sz w:val="24"/>
          <w:szCs w:val="24"/>
        </w:rPr>
      </w:pPr>
    </w:p>
    <w:p w:rsidR="0016772A" w:rsidRDefault="0016772A" w:rsidP="0016772A">
      <w:pPr>
        <w:pStyle w:val="ad"/>
        <w:numPr>
          <w:ilvl w:val="0"/>
          <w:numId w:val="9"/>
        </w:numPr>
        <w:spacing w:line="360" w:lineRule="auto"/>
        <w:jc w:val="both"/>
        <w:rPr>
          <w:rFonts w:ascii="David" w:hAnsi="David" w:cs="David"/>
          <w:sz w:val="24"/>
          <w:szCs w:val="24"/>
        </w:rPr>
      </w:pPr>
      <w:r>
        <w:rPr>
          <w:rFonts w:ascii="David" w:hAnsi="David" w:cs="David"/>
          <w:b/>
          <w:bCs/>
          <w:sz w:val="24"/>
          <w:szCs w:val="24"/>
          <w:u w:val="single"/>
          <w:rtl/>
        </w:rPr>
        <w:t>שנית</w:t>
      </w:r>
      <w:r>
        <w:rPr>
          <w:rFonts w:ascii="David" w:hAnsi="David" w:cs="David"/>
          <w:sz w:val="24"/>
          <w:szCs w:val="24"/>
          <w:rtl/>
        </w:rPr>
        <w:t xml:space="preserve">, לגופו של ענין נדחתה בסופו של יום התביעה במסגרת ת"א 4871/05. התביעה נדחתה בפסק דין של כב' השופטת ע' רון אשר אבחנה גם החלטת הביניים של השופטת נ' דיסקין, ור' </w:t>
      </w:r>
      <w:r>
        <w:rPr>
          <w:rFonts w:ascii="David" w:hAnsi="David" w:cs="David"/>
          <w:color w:val="000000"/>
          <w:sz w:val="24"/>
          <w:szCs w:val="24"/>
          <w:rtl/>
        </w:rPr>
        <w:t xml:space="preserve">ת"א (שלום פ"ת) 4871/05, </w:t>
      </w:r>
      <w:r>
        <w:rPr>
          <w:rFonts w:ascii="David" w:hAnsi="David" w:cs="David"/>
          <w:color w:val="000000"/>
          <w:sz w:val="24"/>
          <w:szCs w:val="24"/>
          <w:u w:val="single"/>
          <w:rtl/>
        </w:rPr>
        <w:t>פאלקוב מאיר נ' הרב בכרך אהרן</w:t>
      </w:r>
      <w:r>
        <w:rPr>
          <w:rFonts w:ascii="David" w:hAnsi="David" w:cs="David"/>
          <w:sz w:val="24"/>
          <w:szCs w:val="24"/>
          <w:rtl/>
        </w:rPr>
        <w:t xml:space="preserve"> (מיום 30/7/2008, השופטת ע' רון).</w:t>
      </w:r>
    </w:p>
    <w:p w:rsidR="0016772A" w:rsidRDefault="0016772A" w:rsidP="0016772A">
      <w:pPr>
        <w:pStyle w:val="ad"/>
        <w:rPr>
          <w:rFonts w:ascii="David" w:hAnsi="David" w:cs="David"/>
          <w:sz w:val="24"/>
          <w:szCs w:val="24"/>
        </w:rPr>
      </w:pPr>
    </w:p>
    <w:p w:rsidR="0016772A" w:rsidRDefault="0016772A" w:rsidP="0016772A">
      <w:pPr>
        <w:pStyle w:val="ad"/>
        <w:numPr>
          <w:ilvl w:val="0"/>
          <w:numId w:val="9"/>
        </w:numPr>
        <w:spacing w:line="360" w:lineRule="auto"/>
        <w:jc w:val="both"/>
        <w:rPr>
          <w:rFonts w:ascii="David" w:hAnsi="David" w:cs="David"/>
          <w:b/>
          <w:bCs/>
          <w:sz w:val="24"/>
          <w:szCs w:val="24"/>
          <w:rtl/>
        </w:rPr>
      </w:pPr>
      <w:r>
        <w:rPr>
          <w:rFonts w:ascii="David" w:hAnsi="David" w:cs="David"/>
          <w:b/>
          <w:bCs/>
          <w:sz w:val="24"/>
          <w:szCs w:val="24"/>
          <w:u w:val="single"/>
          <w:rtl/>
        </w:rPr>
        <w:t>שלישית</w:t>
      </w:r>
      <w:r>
        <w:rPr>
          <w:rFonts w:ascii="David" w:hAnsi="David" w:cs="David"/>
          <w:sz w:val="24"/>
          <w:szCs w:val="24"/>
          <w:rtl/>
        </w:rPr>
        <w:t>, פסק הדין ב</w:t>
      </w:r>
      <w:r>
        <w:rPr>
          <w:rFonts w:ascii="David" w:hAnsi="David" w:cs="David"/>
          <w:color w:val="000000"/>
          <w:sz w:val="24"/>
          <w:szCs w:val="24"/>
          <w:rtl/>
        </w:rPr>
        <w:t xml:space="preserve">ע"א (מחוזי י-ם) 2006/96‏, </w:t>
      </w:r>
      <w:r>
        <w:rPr>
          <w:rFonts w:ascii="David" w:hAnsi="David" w:cs="David"/>
          <w:color w:val="000000"/>
          <w:sz w:val="24"/>
          <w:szCs w:val="24"/>
          <w:u w:val="single"/>
          <w:rtl/>
        </w:rPr>
        <w:t>קצין התגמולים נ' אלמליח</w:t>
      </w:r>
      <w:r>
        <w:rPr>
          <w:rFonts w:ascii="David" w:hAnsi="David" w:cs="David"/>
          <w:sz w:val="24"/>
          <w:szCs w:val="24"/>
          <w:rtl/>
        </w:rPr>
        <w:t xml:space="preserve">  דווקא קבע בדעת רוב, בניגוד לעמדת התובעת כאן, כך – "</w:t>
      </w:r>
      <w:r>
        <w:rPr>
          <w:rFonts w:ascii="FrankRuehl" w:hAnsi="FrankRuehl" w:cs="David"/>
          <w:b/>
          <w:bCs/>
          <w:color w:val="000000"/>
          <w:szCs w:val="24"/>
          <w:rtl/>
        </w:rPr>
        <w:t xml:space="preserve">דמי המפתח נועדו לספק לדייר, או למי שהחזיק עמו במושכר מכוח הזדהות חזקה, קורת גג. </w:t>
      </w:r>
      <w:r>
        <w:rPr>
          <w:rFonts w:ascii="FrankRuehl" w:hAnsi="FrankRuehl" w:cs="David"/>
          <w:b/>
          <w:bCs/>
          <w:color w:val="000000"/>
          <w:szCs w:val="24"/>
          <w:u w:val="single"/>
          <w:rtl/>
        </w:rPr>
        <w:t>מות דייר אינו עילה להעניק את דמי המפתח ליורשים</w:t>
      </w:r>
      <w:r>
        <w:rPr>
          <w:rFonts w:ascii="FrankRuehl" w:hAnsi="FrankRuehl" w:cs="David"/>
          <w:b/>
          <w:bCs/>
          <w:color w:val="000000"/>
          <w:szCs w:val="24"/>
          <w:rtl/>
        </w:rPr>
        <w:t xml:space="preserve"> על</w:t>
      </w:r>
      <w:r>
        <w:rPr>
          <w:rFonts w:ascii="FrankRuehl" w:hAnsi="FrankRuehl" w:cs="David"/>
          <w:b/>
          <w:bCs/>
          <w:color w:val="000000"/>
          <w:szCs w:val="24"/>
          <w:vertAlign w:val="superscript"/>
          <w:rtl/>
        </w:rPr>
        <w:t>-</w:t>
      </w:r>
      <w:r>
        <w:rPr>
          <w:rFonts w:ascii="FrankRuehl" w:hAnsi="FrankRuehl" w:cs="David"/>
          <w:b/>
          <w:bCs/>
          <w:color w:val="000000"/>
          <w:szCs w:val="24"/>
          <w:rtl/>
        </w:rPr>
        <w:t>פי חוק הירושה, תשכ"ה – 1965, ו</w:t>
      </w:r>
      <w:r>
        <w:rPr>
          <w:rFonts w:ascii="FrankRuehl" w:hAnsi="FrankRuehl" w:cs="David"/>
          <w:b/>
          <w:bCs/>
          <w:color w:val="000000"/>
          <w:szCs w:val="24"/>
          <w:u w:val="single"/>
          <w:rtl/>
        </w:rPr>
        <w:t>המושכר חוזר לבעלים</w:t>
      </w:r>
      <w:r>
        <w:rPr>
          <w:rFonts w:ascii="FrankRuehl" w:hAnsi="FrankRuehl" w:cs="David"/>
          <w:b/>
          <w:bCs/>
          <w:color w:val="000000"/>
          <w:szCs w:val="24"/>
          <w:rtl/>
        </w:rPr>
        <w:t>"</w:t>
      </w:r>
      <w:r>
        <w:rPr>
          <w:rFonts w:ascii="FrankRuehl" w:hAnsi="FrankRuehl" w:cs="David"/>
          <w:color w:val="000000"/>
          <w:szCs w:val="24"/>
          <w:rtl/>
        </w:rPr>
        <w:t>.</w:t>
      </w:r>
      <w:r>
        <w:rPr>
          <w:rFonts w:ascii="David" w:hAnsi="David" w:cs="David"/>
          <w:sz w:val="24"/>
          <w:szCs w:val="24"/>
          <w:rtl/>
        </w:rPr>
        <w:t xml:space="preserve"> </w:t>
      </w:r>
    </w:p>
    <w:p w:rsidR="0016772A" w:rsidRDefault="0016772A" w:rsidP="0016772A">
      <w:pPr>
        <w:pStyle w:val="ad"/>
        <w:spacing w:line="360" w:lineRule="auto"/>
        <w:ind w:left="395"/>
        <w:jc w:val="both"/>
        <w:rPr>
          <w:rFonts w:ascii="David" w:hAnsi="David" w:cs="David"/>
          <w:sz w:val="24"/>
          <w:szCs w:val="24"/>
        </w:rPr>
      </w:pPr>
    </w:p>
    <w:p w:rsidR="0016772A" w:rsidRDefault="0016772A" w:rsidP="00242D9E">
      <w:pPr>
        <w:pStyle w:val="ad"/>
        <w:numPr>
          <w:ilvl w:val="0"/>
          <w:numId w:val="1"/>
        </w:numPr>
        <w:spacing w:line="360" w:lineRule="auto"/>
        <w:ind w:left="-172" w:hanging="284"/>
        <w:jc w:val="both"/>
        <w:rPr>
          <w:rFonts w:ascii="David" w:hAnsi="David" w:cs="David"/>
          <w:sz w:val="24"/>
          <w:szCs w:val="24"/>
          <w:rtl/>
        </w:rPr>
      </w:pPr>
      <w:r>
        <w:rPr>
          <w:rFonts w:ascii="David" w:hAnsi="David" w:cs="David"/>
          <w:b/>
          <w:bCs/>
          <w:sz w:val="24"/>
          <w:szCs w:val="24"/>
          <w:u w:val="single"/>
          <w:rtl/>
        </w:rPr>
        <w:t xml:space="preserve">נימוק שלישי משלושה לדחיית התביעה - אין לקבל טענות לפיהן הנתבעים </w:t>
      </w:r>
      <w:r w:rsidR="00242D9E">
        <w:rPr>
          <w:rFonts w:ascii="David" w:hAnsi="David" w:cs="David"/>
          <w:b/>
          <w:bCs/>
          <w:sz w:val="24"/>
          <w:szCs w:val="24"/>
          <w:u w:val="single"/>
          <w:rtl/>
        </w:rPr>
        <w:t>סיכלו את זכויות האם המנוחה</w:t>
      </w:r>
      <w:r w:rsidR="00242D9E">
        <w:rPr>
          <w:rFonts w:ascii="David" w:hAnsi="David" w:cs="David" w:hint="cs"/>
          <w:b/>
          <w:bCs/>
          <w:sz w:val="24"/>
          <w:szCs w:val="24"/>
          <w:u w:val="single"/>
          <w:rtl/>
        </w:rPr>
        <w:t xml:space="preserve">. סיכלו </w:t>
      </w:r>
      <w:r>
        <w:rPr>
          <w:rFonts w:ascii="David" w:hAnsi="David" w:cs="David"/>
          <w:b/>
          <w:bCs/>
          <w:sz w:val="24"/>
          <w:szCs w:val="24"/>
          <w:u w:val="single"/>
          <w:rtl/>
        </w:rPr>
        <w:t>כאשר הגישו כתב הגנה והתנהלו בהליך המשפטי הקצרצר שהסתיים עם מותה</w:t>
      </w:r>
    </w:p>
    <w:p w:rsidR="0016772A" w:rsidRDefault="0016772A" w:rsidP="0016772A">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 xml:space="preserve">התובעת מלינה על התנהלות הנתבעים, אשר לטעמה הביאה לסיכול זכויות האם המנוחה. במסגרת סיכומי התשובה חידדה התובעת טענה זו וציינה (סעיף 6 לסיכומי התשובה) כך – </w:t>
      </w:r>
      <w:r>
        <w:rPr>
          <w:rFonts w:ascii="David" w:hAnsi="David" w:cs="David"/>
          <w:b/>
          <w:bCs/>
          <w:sz w:val="24"/>
          <w:szCs w:val="24"/>
          <w:rtl/>
        </w:rPr>
        <w:t>"כנראה שהנתבעים לא מבינים את עילות הגשת תביעת התובעת כנגדם בהתנהלותם לסכל את האפשרות של המנוחה להשלים את הליך חילוף הדיירים, בשל התנהלותם חסרת תום הלב של הנתבעים"</w:t>
      </w:r>
      <w:r>
        <w:rPr>
          <w:rFonts w:ascii="David" w:hAnsi="David" w:cs="David"/>
          <w:sz w:val="24"/>
          <w:szCs w:val="24"/>
          <w:rtl/>
        </w:rPr>
        <w:t>.</w:t>
      </w:r>
    </w:p>
    <w:p w:rsidR="0016772A" w:rsidRDefault="0016772A" w:rsidP="0016772A">
      <w:pPr>
        <w:pStyle w:val="ad"/>
        <w:spacing w:line="360" w:lineRule="auto"/>
        <w:ind w:left="395"/>
        <w:jc w:val="both"/>
        <w:rPr>
          <w:rFonts w:ascii="David" w:hAnsi="David" w:cs="David"/>
          <w:sz w:val="24"/>
          <w:szCs w:val="24"/>
        </w:rPr>
      </w:pPr>
    </w:p>
    <w:p w:rsidR="0016772A" w:rsidRDefault="0016772A" w:rsidP="0016772A">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 xml:space="preserve">הנתבעים אכן התנגדו בהעברת זכויות הדיירות המוגנת לדיירים המוצעים. זכויות שנעשה בהם שימוש מלא וראוי לאורך תקופה ארוכה של שבעים שנים. במלוא הכבוד, אין לראות בעובדה </w:t>
      </w:r>
      <w:r>
        <w:rPr>
          <w:rFonts w:ascii="David" w:hAnsi="David" w:cs="David"/>
          <w:sz w:val="24"/>
          <w:szCs w:val="24"/>
          <w:rtl/>
        </w:rPr>
        <w:lastRenderedPageBreak/>
        <w:t>שהנתבעים התנגדו לאחר שבעים שנים להעברת זכויות הדיירות המוגנת – כהתנהלות חסרת תום לב. הנתבעים ניצלו את זכויותיהם שבדין.</w:t>
      </w:r>
    </w:p>
    <w:p w:rsidR="0016772A" w:rsidRDefault="0016772A" w:rsidP="0016772A">
      <w:pPr>
        <w:pStyle w:val="ad"/>
        <w:rPr>
          <w:rFonts w:ascii="David" w:hAnsi="David" w:cs="David"/>
          <w:sz w:val="24"/>
          <w:szCs w:val="24"/>
        </w:rPr>
      </w:pPr>
    </w:p>
    <w:p w:rsidR="0016772A" w:rsidRDefault="0016772A" w:rsidP="0016772A">
      <w:pPr>
        <w:pStyle w:val="ad"/>
        <w:spacing w:line="360" w:lineRule="auto"/>
        <w:ind w:left="395"/>
        <w:jc w:val="both"/>
        <w:rPr>
          <w:rFonts w:ascii="David" w:hAnsi="David" w:cs="David"/>
          <w:sz w:val="24"/>
          <w:szCs w:val="24"/>
          <w:rtl/>
        </w:rPr>
      </w:pPr>
      <w:r>
        <w:rPr>
          <w:rFonts w:ascii="David" w:hAnsi="David" w:cs="David"/>
          <w:sz w:val="24"/>
          <w:szCs w:val="24"/>
          <w:rtl/>
        </w:rPr>
        <w:t xml:space="preserve">גם לוח הזמנים של ההליך המשפטי מלמד על התנהלות סבירה, אולי אף ראויה ובוודאי לא חסרת תום לב. התביעה כנגד הנתבעים הוגשה ביום 20/4/2021, למרבה הצער נפטרה האם המנוחה פחות מחודשיים לאחר מכן – אך לא היתה כל התארכות בהליך אותה ניתן להניח לפתחם של הנתבעים. כאן המקום לציין שגם אין להלין על הנתבעים, בגין ההליך הראשון שנמחק והכוונה היא לתש   11901-01-21, </w:t>
      </w:r>
      <w:r>
        <w:rPr>
          <w:rFonts w:ascii="David" w:hAnsi="David" w:cs="David"/>
          <w:sz w:val="24"/>
          <w:szCs w:val="24"/>
          <w:u w:val="single"/>
          <w:rtl/>
        </w:rPr>
        <w:t>שרה ברודרזון נגד אליהו ספיר 10 בע"מ</w:t>
      </w:r>
      <w:r>
        <w:rPr>
          <w:rFonts w:ascii="David" w:hAnsi="David" w:cs="David"/>
          <w:sz w:val="24"/>
          <w:szCs w:val="24"/>
          <w:rtl/>
        </w:rPr>
        <w:t xml:space="preserve"> שהגישה התובעת ואשר נמחק משלא הוגש כנגד הנתבעים (ור' סעיף 4.2 לעיל).</w:t>
      </w:r>
    </w:p>
    <w:p w:rsidR="0016772A" w:rsidRDefault="0016772A" w:rsidP="0016772A">
      <w:pPr>
        <w:pStyle w:val="ad"/>
        <w:spacing w:line="360" w:lineRule="auto"/>
        <w:ind w:left="-172"/>
        <w:jc w:val="both"/>
        <w:rPr>
          <w:rFonts w:ascii="David" w:hAnsi="David" w:cs="David"/>
          <w:sz w:val="24"/>
          <w:szCs w:val="24"/>
          <w:rtl/>
        </w:rPr>
      </w:pPr>
    </w:p>
    <w:p w:rsidR="0016772A" w:rsidRDefault="0016772A" w:rsidP="0016772A">
      <w:pPr>
        <w:pStyle w:val="ad"/>
        <w:numPr>
          <w:ilvl w:val="0"/>
          <w:numId w:val="1"/>
        </w:numPr>
        <w:spacing w:line="360" w:lineRule="auto"/>
        <w:ind w:left="-172" w:hanging="284"/>
        <w:jc w:val="both"/>
        <w:rPr>
          <w:rFonts w:ascii="David" w:hAnsi="David" w:cs="David"/>
          <w:sz w:val="24"/>
          <w:szCs w:val="24"/>
          <w:u w:val="single"/>
          <w:rtl/>
        </w:rPr>
      </w:pPr>
      <w:r>
        <w:rPr>
          <w:rFonts w:ascii="David" w:hAnsi="David" w:cs="David"/>
          <w:b/>
          <w:bCs/>
          <w:sz w:val="24"/>
          <w:szCs w:val="24"/>
          <w:u w:val="single"/>
          <w:rtl/>
        </w:rPr>
        <w:t>שתי הערות לפני סיום</w:t>
      </w:r>
    </w:p>
    <w:p w:rsidR="0016772A" w:rsidRDefault="0016772A" w:rsidP="0016772A">
      <w:pPr>
        <w:pStyle w:val="ad"/>
        <w:spacing w:line="360" w:lineRule="auto"/>
        <w:ind w:left="-172"/>
        <w:jc w:val="both"/>
        <w:rPr>
          <w:rFonts w:ascii="David" w:hAnsi="David" w:cs="David"/>
          <w:sz w:val="24"/>
          <w:szCs w:val="24"/>
          <w:u w:val="single"/>
        </w:rPr>
      </w:pPr>
    </w:p>
    <w:p w:rsidR="0016772A" w:rsidRDefault="0016772A" w:rsidP="0016772A">
      <w:pPr>
        <w:pStyle w:val="ad"/>
        <w:numPr>
          <w:ilvl w:val="1"/>
          <w:numId w:val="1"/>
        </w:numPr>
        <w:spacing w:line="360" w:lineRule="auto"/>
        <w:ind w:left="395" w:hanging="567"/>
        <w:jc w:val="both"/>
        <w:rPr>
          <w:rFonts w:ascii="David" w:hAnsi="David" w:cs="David"/>
          <w:sz w:val="24"/>
          <w:szCs w:val="24"/>
          <w:u w:val="single"/>
        </w:rPr>
      </w:pPr>
      <w:r>
        <w:rPr>
          <w:rFonts w:ascii="David" w:hAnsi="David" w:cs="David"/>
          <w:b/>
          <w:bCs/>
          <w:sz w:val="24"/>
          <w:szCs w:val="24"/>
          <w:u w:val="single"/>
          <w:rtl/>
        </w:rPr>
        <w:t>הערה ראשונה משתיים - התייחסות לטענת התובעת ממנה עולה שההליך המקורי כבר הוכרע ואושרו הדיירים הנכנסים</w:t>
      </w:r>
      <w:r>
        <w:rPr>
          <w:rFonts w:ascii="David" w:hAnsi="David" w:cs="David"/>
          <w:sz w:val="24"/>
          <w:szCs w:val="24"/>
          <w:u w:val="single"/>
          <w:rtl/>
        </w:rPr>
        <w:t xml:space="preserve"> </w:t>
      </w:r>
      <w:r>
        <w:rPr>
          <w:rFonts w:ascii="David" w:hAnsi="David" w:cs="David"/>
          <w:b/>
          <w:bCs/>
          <w:sz w:val="24"/>
          <w:szCs w:val="24"/>
          <w:u w:val="single"/>
          <w:rtl/>
        </w:rPr>
        <w:t>והתייחסות לטענותיה בדבר שיחות שנוהלו מחוץ לפרוטוקול</w:t>
      </w:r>
    </w:p>
    <w:p w:rsidR="0016772A" w:rsidRDefault="0016772A" w:rsidP="0016772A">
      <w:pPr>
        <w:pStyle w:val="ad"/>
        <w:numPr>
          <w:ilvl w:val="0"/>
          <w:numId w:val="10"/>
        </w:numPr>
        <w:spacing w:line="360" w:lineRule="auto"/>
        <w:jc w:val="both"/>
        <w:rPr>
          <w:rFonts w:ascii="David" w:hAnsi="David" w:cs="David"/>
          <w:sz w:val="24"/>
          <w:szCs w:val="24"/>
        </w:rPr>
      </w:pPr>
      <w:r>
        <w:rPr>
          <w:rFonts w:ascii="David" w:hAnsi="David" w:cs="David"/>
          <w:sz w:val="24"/>
          <w:szCs w:val="24"/>
          <w:rtl/>
        </w:rPr>
        <w:t xml:space="preserve">התובעת התייחסה להחלטת הביניים בהליך המקורי בה נקבע "... </w:t>
      </w:r>
      <w:r>
        <w:rPr>
          <w:rFonts w:ascii="David" w:hAnsi="David" w:cs="David"/>
          <w:b/>
          <w:bCs/>
          <w:sz w:val="24"/>
          <w:szCs w:val="24"/>
          <w:rtl/>
        </w:rPr>
        <w:t>בטרם נתקדם בהליך, אני מורה לדיירים המוצעים להפקיד את דמי המפתח המלאים בסך 1,500,000 ₪ בקופת בית המשפט</w:t>
      </w:r>
      <w:r>
        <w:rPr>
          <w:rFonts w:ascii="David" w:hAnsi="David" w:cs="David"/>
          <w:sz w:val="24"/>
          <w:szCs w:val="24"/>
          <w:rtl/>
        </w:rPr>
        <w:t>". לטעמה של התובעת המשמעות היא שאושרו כבר הדיירים הנכנסים ומכאן נקל היה להגיע למסקנתה לפיה היא (התובעת) זכאית לתשלום בסך השווה לחלק מדמי המפתח.</w:t>
      </w:r>
    </w:p>
    <w:p w:rsidR="0016772A" w:rsidRDefault="0016772A" w:rsidP="0016772A">
      <w:pPr>
        <w:pStyle w:val="ad"/>
        <w:spacing w:line="360" w:lineRule="auto"/>
        <w:ind w:left="755"/>
        <w:jc w:val="both"/>
        <w:rPr>
          <w:rFonts w:ascii="David" w:hAnsi="David" w:cs="David"/>
          <w:sz w:val="24"/>
          <w:szCs w:val="24"/>
        </w:rPr>
      </w:pPr>
    </w:p>
    <w:p w:rsidR="0016772A" w:rsidRDefault="0016772A" w:rsidP="0016772A">
      <w:pPr>
        <w:pStyle w:val="ad"/>
        <w:numPr>
          <w:ilvl w:val="0"/>
          <w:numId w:val="10"/>
        </w:numPr>
        <w:spacing w:line="360" w:lineRule="auto"/>
        <w:jc w:val="both"/>
        <w:rPr>
          <w:rFonts w:ascii="David" w:hAnsi="David" w:cs="David"/>
          <w:sz w:val="24"/>
          <w:szCs w:val="24"/>
        </w:rPr>
      </w:pPr>
      <w:r>
        <w:rPr>
          <w:rFonts w:ascii="David" w:hAnsi="David" w:cs="David"/>
          <w:sz w:val="24"/>
          <w:szCs w:val="24"/>
          <w:rtl/>
        </w:rPr>
        <w:t xml:space="preserve">במלוא הכבוד, אין לקבל טענה זו. הכרעה בהליך נעשית בפסק דין בסיומו של ההליך ולא במסגרת החלטת ביניים שנועדה כלשונה להיות – </w:t>
      </w:r>
      <w:r>
        <w:rPr>
          <w:rFonts w:ascii="David" w:hAnsi="David" w:cs="David"/>
          <w:b/>
          <w:bCs/>
          <w:sz w:val="24"/>
          <w:szCs w:val="24"/>
          <w:rtl/>
        </w:rPr>
        <w:t>"בטרם נתקדם בהליך"</w:t>
      </w:r>
      <w:r>
        <w:rPr>
          <w:rFonts w:ascii="David" w:hAnsi="David" w:cs="David"/>
          <w:sz w:val="24"/>
          <w:szCs w:val="24"/>
          <w:rtl/>
        </w:rPr>
        <w:t>. פסק הדין שניתן בסיומו של ההליך המקורי דווקא קבע שזכויותיה של האם המנוחה פקעו. אין בהחלטת הביניים הקובעת הפקדת הסך של 1,500,000 ₪ - על מנת לראות האם יש מקום להתקדם בהליך, כדי לקבוע שניתן כבר פסק דין המקבל את עמדת התובעת ודוחה את עמדת הנתבעים.</w:t>
      </w:r>
    </w:p>
    <w:p w:rsidR="0016772A" w:rsidRDefault="0016772A" w:rsidP="0016772A">
      <w:pPr>
        <w:pStyle w:val="ad"/>
        <w:rPr>
          <w:rFonts w:ascii="David" w:hAnsi="David" w:cs="David"/>
          <w:sz w:val="24"/>
          <w:szCs w:val="24"/>
        </w:rPr>
      </w:pPr>
    </w:p>
    <w:p w:rsidR="0016772A" w:rsidRDefault="0016772A" w:rsidP="0016772A">
      <w:pPr>
        <w:pStyle w:val="ad"/>
        <w:numPr>
          <w:ilvl w:val="0"/>
          <w:numId w:val="10"/>
        </w:numPr>
        <w:spacing w:line="360" w:lineRule="auto"/>
        <w:jc w:val="both"/>
        <w:rPr>
          <w:rFonts w:ascii="David" w:hAnsi="David" w:cs="David"/>
          <w:sz w:val="24"/>
          <w:szCs w:val="24"/>
          <w:rtl/>
        </w:rPr>
      </w:pPr>
      <w:r>
        <w:rPr>
          <w:rFonts w:ascii="David" w:hAnsi="David" w:cs="David"/>
          <w:sz w:val="24"/>
          <w:szCs w:val="24"/>
          <w:rtl/>
        </w:rPr>
        <w:t xml:space="preserve">כאן המקום לציין שבמסגרת ההליך הועלו טענות שונות באשר לשיחות והתנהלות מחוץ לפרוטוקול שהיתה בין הצדדים. אין מקום לנסות ולתור אחר אמירות שנאמרו מחוץ לפרוטוקול או "החלטות" שכלל לא התקבלו. הנכון הוא להתייחס להוראות הדין, לראיות שהוצגו לפני ולהחלטות או פסקי דין שניתנו בהליכים קודמים בהם נקטה האם המנוחה – על כך הרחבתי כבר לעיל. </w:t>
      </w:r>
    </w:p>
    <w:p w:rsidR="0016772A" w:rsidRDefault="0016772A" w:rsidP="0016772A">
      <w:pPr>
        <w:pStyle w:val="ad"/>
        <w:spacing w:line="360" w:lineRule="auto"/>
        <w:ind w:left="395"/>
        <w:jc w:val="both"/>
        <w:rPr>
          <w:rFonts w:ascii="David" w:hAnsi="David" w:cs="David"/>
          <w:sz w:val="24"/>
          <w:szCs w:val="24"/>
          <w:u w:val="single"/>
          <w:rtl/>
        </w:rPr>
      </w:pPr>
    </w:p>
    <w:p w:rsidR="00B4192C" w:rsidRDefault="00B4192C" w:rsidP="0016772A">
      <w:pPr>
        <w:pStyle w:val="ad"/>
        <w:spacing w:line="360" w:lineRule="auto"/>
        <w:ind w:left="395"/>
        <w:jc w:val="both"/>
        <w:rPr>
          <w:rFonts w:ascii="David" w:hAnsi="David" w:cs="David"/>
          <w:sz w:val="24"/>
          <w:szCs w:val="24"/>
          <w:u w:val="single"/>
          <w:rtl/>
        </w:rPr>
      </w:pPr>
    </w:p>
    <w:p w:rsidR="0016772A" w:rsidRDefault="0016772A" w:rsidP="0016772A">
      <w:pPr>
        <w:pStyle w:val="ad"/>
        <w:numPr>
          <w:ilvl w:val="1"/>
          <w:numId w:val="1"/>
        </w:numPr>
        <w:spacing w:line="360" w:lineRule="auto"/>
        <w:ind w:left="395" w:hanging="567"/>
        <w:jc w:val="both"/>
        <w:rPr>
          <w:rFonts w:ascii="David" w:hAnsi="David" w:cs="David"/>
          <w:sz w:val="24"/>
          <w:szCs w:val="24"/>
          <w:u w:val="single"/>
        </w:rPr>
      </w:pPr>
      <w:r>
        <w:rPr>
          <w:rFonts w:ascii="David" w:hAnsi="David" w:cs="David"/>
          <w:b/>
          <w:bCs/>
          <w:sz w:val="24"/>
          <w:szCs w:val="24"/>
          <w:u w:val="single"/>
          <w:rtl/>
        </w:rPr>
        <w:lastRenderedPageBreak/>
        <w:t>הערה שניה משתיים - התייחסות לטענות הנתבעים באשר למצבה הקוגנטיבי של האם המנוחה במועדי התביעה המקורית</w:t>
      </w:r>
    </w:p>
    <w:p w:rsidR="0016772A" w:rsidRDefault="0016772A" w:rsidP="0016772A">
      <w:pPr>
        <w:pStyle w:val="ad"/>
        <w:numPr>
          <w:ilvl w:val="0"/>
          <w:numId w:val="11"/>
        </w:numPr>
        <w:spacing w:line="360" w:lineRule="auto"/>
        <w:jc w:val="both"/>
        <w:rPr>
          <w:rFonts w:ascii="David" w:hAnsi="David" w:cs="David"/>
          <w:sz w:val="24"/>
          <w:szCs w:val="24"/>
        </w:rPr>
      </w:pPr>
      <w:r>
        <w:rPr>
          <w:rFonts w:ascii="David" w:hAnsi="David" w:cs="David"/>
          <w:sz w:val="24"/>
          <w:szCs w:val="24"/>
          <w:rtl/>
        </w:rPr>
        <w:t xml:space="preserve">הנתבעים טענו כנגד מצבה הקוגנטיבי של האם המנוחה בחודשי חייה האחרונים בהם הוגשה התביעה. לענין זה נשמעו עדויות שונות לרבות תצהירו של החוקר הפרטי מטעם הנתבעים – יחזקאל דניאלי. </w:t>
      </w:r>
    </w:p>
    <w:p w:rsidR="0016772A" w:rsidRDefault="0016772A" w:rsidP="0016772A">
      <w:pPr>
        <w:pStyle w:val="ad"/>
        <w:spacing w:line="360" w:lineRule="auto"/>
        <w:ind w:left="755"/>
        <w:jc w:val="both"/>
        <w:rPr>
          <w:rFonts w:ascii="David" w:hAnsi="David" w:cs="David"/>
          <w:sz w:val="24"/>
          <w:szCs w:val="24"/>
        </w:rPr>
      </w:pPr>
    </w:p>
    <w:p w:rsidR="0016772A" w:rsidRDefault="0016772A" w:rsidP="0016772A">
      <w:pPr>
        <w:pStyle w:val="ad"/>
        <w:numPr>
          <w:ilvl w:val="0"/>
          <w:numId w:val="11"/>
        </w:numPr>
        <w:spacing w:line="360" w:lineRule="auto"/>
        <w:jc w:val="both"/>
        <w:rPr>
          <w:rFonts w:ascii="David" w:hAnsi="David" w:cs="David"/>
          <w:sz w:val="24"/>
          <w:szCs w:val="24"/>
          <w:rtl/>
        </w:rPr>
      </w:pPr>
      <w:r>
        <w:rPr>
          <w:rFonts w:ascii="David" w:hAnsi="David" w:cs="David"/>
          <w:sz w:val="24"/>
          <w:szCs w:val="24"/>
          <w:rtl/>
        </w:rPr>
        <w:t xml:space="preserve">להשלמה ייאמר שהנתבעים 1-5 אף עתרו לכך שאחייב את התובעת למסור בתצהיר את פרטי כל המוסדות, הגופים והרופאים שטיפלו האם המנוחה בשלוש השנים האחרונות לחייה; </w:t>
      </w:r>
      <w:r>
        <w:rPr>
          <w:rFonts w:ascii="David" w:hAnsi="David" w:cs="David"/>
          <w:sz w:val="24"/>
          <w:szCs w:val="24"/>
          <w:u w:val="single"/>
          <w:rtl/>
        </w:rPr>
        <w:t>עוד</w:t>
      </w:r>
      <w:r>
        <w:rPr>
          <w:rFonts w:ascii="David" w:hAnsi="David" w:cs="David"/>
          <w:sz w:val="24"/>
          <w:szCs w:val="24"/>
          <w:rtl/>
        </w:rPr>
        <w:t xml:space="preserve"> ביקשו הנתבעים שאורה לתובעת לחתום על טופס ויתור על סודיות רפואית וייפויי כח מתאימים המאפשרים לב"כ הנתבעים לקבל העתק החומר הרפואי הקשור לאם המנוחה; בנוסף ביקשו הנתבעים שאוציא צו המורה למוסדות, הגופים והרופאים הנ"ל להעביר לתיק בית המשפט את החומר הרפואי.</w:t>
      </w:r>
    </w:p>
    <w:p w:rsidR="0016772A" w:rsidRDefault="0016772A" w:rsidP="0016772A">
      <w:pPr>
        <w:pStyle w:val="ad"/>
        <w:spacing w:line="360" w:lineRule="auto"/>
        <w:ind w:left="755"/>
        <w:jc w:val="both"/>
        <w:rPr>
          <w:rFonts w:ascii="David" w:hAnsi="David" w:cs="David"/>
          <w:sz w:val="24"/>
          <w:szCs w:val="24"/>
        </w:rPr>
      </w:pPr>
      <w:r>
        <w:rPr>
          <w:rFonts w:ascii="David" w:hAnsi="David" w:cs="David"/>
          <w:sz w:val="24"/>
          <w:szCs w:val="24"/>
          <w:rtl/>
        </w:rPr>
        <w:t xml:space="preserve">הבקשה נדחתה בהחלטה מיום 4/7/2022. הנתבעים 1-5 הגישו בקשת רשות ערעור שנדונה ונדחתה במסגרת רע"א 41491-07-22, </w:t>
      </w:r>
      <w:r>
        <w:rPr>
          <w:rFonts w:ascii="David" w:hAnsi="David" w:cs="David"/>
          <w:sz w:val="24"/>
          <w:szCs w:val="24"/>
          <w:u w:val="single"/>
          <w:rtl/>
        </w:rPr>
        <w:t>בן חיים ואח' נגד פלג</w:t>
      </w:r>
      <w:r>
        <w:rPr>
          <w:rFonts w:ascii="David" w:hAnsi="David" w:cs="David"/>
          <w:sz w:val="24"/>
          <w:szCs w:val="24"/>
          <w:rtl/>
        </w:rPr>
        <w:t xml:space="preserve"> (מיום 18/9/2022, סג' הנ' השופטת א' כהן). </w:t>
      </w:r>
    </w:p>
    <w:p w:rsidR="0016772A" w:rsidRDefault="0016772A" w:rsidP="0016772A">
      <w:pPr>
        <w:pStyle w:val="ad"/>
        <w:spacing w:line="360" w:lineRule="auto"/>
        <w:ind w:left="755"/>
        <w:jc w:val="both"/>
        <w:rPr>
          <w:rFonts w:ascii="David" w:hAnsi="David" w:cs="David"/>
          <w:sz w:val="24"/>
          <w:szCs w:val="24"/>
        </w:rPr>
      </w:pPr>
    </w:p>
    <w:p w:rsidR="0016772A" w:rsidRDefault="0016772A" w:rsidP="0016772A">
      <w:pPr>
        <w:pStyle w:val="ad"/>
        <w:numPr>
          <w:ilvl w:val="0"/>
          <w:numId w:val="11"/>
        </w:numPr>
        <w:spacing w:line="360" w:lineRule="auto"/>
        <w:jc w:val="both"/>
        <w:rPr>
          <w:rFonts w:ascii="David" w:hAnsi="David" w:cs="David"/>
          <w:sz w:val="24"/>
          <w:szCs w:val="24"/>
        </w:rPr>
      </w:pPr>
      <w:r>
        <w:rPr>
          <w:rFonts w:ascii="David" w:hAnsi="David" w:cs="David"/>
          <w:sz w:val="24"/>
          <w:szCs w:val="24"/>
          <w:rtl/>
        </w:rPr>
        <w:t>לגופו של ענין, אין מקום שאכריע בדבר מצבה הקוגנטיבי של האם המנוחה ועניינה בהליך המקורי שנמחק. כפי שהובא לעיל – פסק הדין מבוסס על נימוקים אשר מצבה הקוגנטיבי של האם המנוחה במועדים הרלוונטיים, אינו מעלה ואינו מוריד לעניינם.</w:t>
      </w:r>
    </w:p>
    <w:p w:rsidR="0016772A" w:rsidRDefault="0016772A" w:rsidP="0016772A">
      <w:pPr>
        <w:pStyle w:val="ad"/>
        <w:rPr>
          <w:rFonts w:ascii="David" w:hAnsi="David" w:cs="David"/>
          <w:sz w:val="24"/>
          <w:szCs w:val="24"/>
        </w:rPr>
      </w:pPr>
    </w:p>
    <w:p w:rsidR="0016772A" w:rsidRDefault="0016772A" w:rsidP="0016772A">
      <w:pPr>
        <w:pStyle w:val="ad"/>
        <w:spacing w:line="360" w:lineRule="auto"/>
        <w:ind w:left="-172"/>
        <w:jc w:val="both"/>
        <w:rPr>
          <w:rFonts w:ascii="David" w:hAnsi="David" w:cs="David"/>
          <w:sz w:val="24"/>
          <w:szCs w:val="24"/>
          <w:rtl/>
        </w:rPr>
      </w:pPr>
    </w:p>
    <w:p w:rsidR="0016772A" w:rsidRDefault="0016772A" w:rsidP="0016772A">
      <w:pPr>
        <w:pStyle w:val="ad"/>
        <w:numPr>
          <w:ilvl w:val="0"/>
          <w:numId w:val="1"/>
        </w:numPr>
        <w:spacing w:line="360" w:lineRule="auto"/>
        <w:ind w:left="-172" w:hanging="284"/>
        <w:jc w:val="both"/>
        <w:rPr>
          <w:rFonts w:ascii="David" w:hAnsi="David" w:cs="David"/>
          <w:sz w:val="24"/>
          <w:szCs w:val="24"/>
          <w:rtl/>
        </w:rPr>
      </w:pPr>
      <w:r>
        <w:rPr>
          <w:rFonts w:ascii="David" w:hAnsi="David" w:cs="David"/>
          <w:b/>
          <w:bCs/>
          <w:sz w:val="24"/>
          <w:szCs w:val="24"/>
          <w:u w:val="single"/>
          <w:rtl/>
        </w:rPr>
        <w:t>סוף דבר</w:t>
      </w:r>
    </w:p>
    <w:p w:rsidR="0016772A" w:rsidRDefault="0016772A" w:rsidP="0016772A">
      <w:pPr>
        <w:pStyle w:val="ad"/>
        <w:spacing w:line="360" w:lineRule="auto"/>
        <w:ind w:left="-172"/>
        <w:jc w:val="both"/>
        <w:rPr>
          <w:rFonts w:ascii="David" w:hAnsi="David" w:cs="David"/>
          <w:sz w:val="24"/>
          <w:szCs w:val="24"/>
        </w:rPr>
      </w:pPr>
      <w:r>
        <w:rPr>
          <w:rFonts w:ascii="David" w:hAnsi="David" w:cs="David"/>
          <w:sz w:val="24"/>
          <w:szCs w:val="24"/>
          <w:rtl/>
        </w:rPr>
        <w:t>לאור כל האמור לעיל התביעה נדחית.</w:t>
      </w:r>
    </w:p>
    <w:p w:rsidR="0016772A" w:rsidRDefault="0016772A" w:rsidP="0016772A">
      <w:pPr>
        <w:pStyle w:val="ad"/>
        <w:spacing w:line="360" w:lineRule="auto"/>
        <w:ind w:left="-172"/>
        <w:jc w:val="both"/>
        <w:rPr>
          <w:rFonts w:ascii="David" w:hAnsi="David" w:cs="David"/>
          <w:sz w:val="24"/>
          <w:szCs w:val="24"/>
          <w:rtl/>
        </w:rPr>
      </w:pPr>
      <w:r>
        <w:rPr>
          <w:rFonts w:ascii="David" w:hAnsi="David" w:cs="David"/>
          <w:sz w:val="24"/>
          <w:szCs w:val="24"/>
          <w:rtl/>
        </w:rPr>
        <w:t xml:space="preserve">אני מחייב את התובעת בתשלום הוצאות ושכר טרחה לנתבעים 1-5 בסך של </w:t>
      </w:r>
      <w:r>
        <w:rPr>
          <w:rFonts w:ascii="David" w:hAnsi="David" w:cs="David"/>
          <w:b/>
          <w:bCs/>
          <w:sz w:val="24"/>
          <w:szCs w:val="24"/>
          <w:u w:val="single"/>
          <w:rtl/>
        </w:rPr>
        <w:t>30,000 ₪</w:t>
      </w:r>
      <w:r>
        <w:rPr>
          <w:rFonts w:ascii="David" w:hAnsi="David" w:cs="David"/>
          <w:sz w:val="24"/>
          <w:szCs w:val="24"/>
          <w:rtl/>
        </w:rPr>
        <w:t xml:space="preserve">, בצירוף הפרשי הצמדה וריבית כחוק ממועד פסק הדין ועד למועד התשלום בפועל.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rsidP="0016772A">
      <w:pPr>
        <w:spacing w:line="360" w:lineRule="auto"/>
        <w:ind w:left="-340"/>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r w:rsidR="00D54B61">
        <w:rPr>
          <w:rFonts w:hint="cs"/>
          <w:rtl/>
        </w:rPr>
        <w:t>ב</w:t>
      </w:r>
      <w:sdt>
        <w:sdtPr>
          <w:rPr>
            <w:rtl/>
          </w:rPr>
          <w:alias w:val="1455"/>
          <w:tag w:val="1455"/>
          <w:id w:val="1666048407"/>
          <w:text w:multiLine="1"/>
        </w:sdtPr>
        <w:sdtEndPr/>
        <w:sdtContent>
          <w:r>
            <w:rPr>
              <w:rFonts w:ascii="Arial" w:hAnsi="Arial"/>
              <w:noProof w:val="0"/>
              <w:rtl/>
            </w:rPr>
            <w:t>ה' סיוון תשפ"ד</w:t>
          </w:r>
        </w:sdtContent>
      </w:sdt>
      <w:r w:rsidR="00005C8B">
        <w:rPr>
          <w:rFonts w:ascii="Arial" w:hAnsi="Arial"/>
          <w:noProof w:val="0"/>
          <w:rtl/>
        </w:rPr>
        <w:t xml:space="preserve">, </w:t>
      </w:r>
      <w:r w:rsidR="00D54B61">
        <w:rPr>
          <w:rFonts w:ascii="Arial" w:hAnsi="Arial" w:hint="cs"/>
          <w:noProof w:val="0"/>
          <w:rtl/>
        </w:rPr>
        <w:t>ב</w:t>
      </w:r>
      <w:sdt>
        <w:sdtPr>
          <w:rPr>
            <w:rtl/>
          </w:rPr>
          <w:alias w:val="1456"/>
          <w:tag w:val="1456"/>
          <w:id w:val="-1186288958"/>
          <w:text w:multiLine="1"/>
        </w:sdtPr>
        <w:sdtEndPr/>
        <w:sdtContent>
          <w:r>
            <w:rPr>
              <w:rFonts w:ascii="Arial" w:hAnsi="Arial"/>
              <w:noProof w:val="0"/>
              <w:rtl/>
            </w:rPr>
            <w:t>11 יוני 2024</w:t>
          </w:r>
        </w:sdtContent>
      </w:sdt>
      <w:r w:rsidR="00005C8B">
        <w:rPr>
          <w:rFonts w:ascii="Arial" w:hAnsi="Arial"/>
          <w:noProof w:val="0"/>
          <w:rtl/>
        </w:rPr>
        <w:t>, בהעדר הצדדים.</w:t>
      </w:r>
    </w:p>
    <w:p w:rsidR="00C43648" w:rsidRDefault="00971EE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79824893"/>
        </w:sdtPr>
        <w:sdtEndPr/>
        <w:sdtContent>
          <w:r w:rsidR="00971EEF">
            <w:drawing>
              <wp:inline distT="0" distB="0" distL="0" distR="0" wp14:editId="50D07946">
                <wp:extent cx="1781175"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81175" cy="5048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6615E">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72A" w:rsidRDefault="0016772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386327" w:rsidRDefault="000C3B60">
    <w:pPr>
      <w:pStyle w:val="a4"/>
      <w:jc w:val="center"/>
      <w:rPr>
        <w:rStyle w:val="ab"/>
      </w:rPr>
    </w:pPr>
    <w:r w:rsidRPr="00386327">
      <w:rPr>
        <w:rStyle w:val="ab"/>
      </w:rPr>
      <w:fldChar w:fldCharType="begin"/>
    </w:r>
    <w:r w:rsidR="00005C8B" w:rsidRPr="00386327">
      <w:rPr>
        <w:rStyle w:val="ab"/>
      </w:rPr>
      <w:instrText xml:space="preserve"> PAGE </w:instrText>
    </w:r>
    <w:r w:rsidRPr="00386327">
      <w:rPr>
        <w:rStyle w:val="ab"/>
      </w:rPr>
      <w:fldChar w:fldCharType="separate"/>
    </w:r>
    <w:r w:rsidR="00971EEF">
      <w:rPr>
        <w:rStyle w:val="ab"/>
        <w:rtl/>
      </w:rPr>
      <w:t>1</w:t>
    </w:r>
    <w:r w:rsidRPr="00386327">
      <w:rPr>
        <w:rStyle w:val="ab"/>
      </w:rPr>
      <w:fldChar w:fldCharType="end"/>
    </w:r>
    <w:r w:rsidR="00005C8B" w:rsidRPr="00386327">
      <w:rPr>
        <w:rStyle w:val="ab"/>
        <w:rFonts w:hint="cs"/>
        <w:rtl/>
      </w:rPr>
      <w:t xml:space="preserve"> מתוך </w:t>
    </w:r>
    <w:r w:rsidRPr="00386327">
      <w:rPr>
        <w:rStyle w:val="ab"/>
      </w:rPr>
      <w:fldChar w:fldCharType="begin"/>
    </w:r>
    <w:r w:rsidR="00005C8B" w:rsidRPr="00386327">
      <w:rPr>
        <w:rStyle w:val="ab"/>
      </w:rPr>
      <w:instrText xml:space="preserve"> NUMPAGES </w:instrText>
    </w:r>
    <w:r w:rsidRPr="00386327">
      <w:rPr>
        <w:rStyle w:val="ab"/>
      </w:rPr>
      <w:fldChar w:fldCharType="separate"/>
    </w:r>
    <w:r w:rsidR="00971EEF">
      <w:rPr>
        <w:rStyle w:val="ab"/>
        <w:rtl/>
      </w:rPr>
      <w:t>11</w:t>
    </w:r>
    <w:r w:rsidRPr="00386327">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72A" w:rsidRDefault="0016772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72A" w:rsidRDefault="0016772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8B64619" wp14:editId="63AC1D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1C5573">
      <w:trPr>
        <w:trHeight w:hRule="exact" w:val="510"/>
        <w:jc w:val="center"/>
      </w:trPr>
      <w:sdt>
        <w:sdtPr>
          <w:rPr>
            <w:rFonts w:ascii="Tahoma" w:hAnsi="Tahoma"/>
            <w:b/>
            <w:bCs/>
            <w:color w:val="000080"/>
            <w:sz w:val="32"/>
            <w:szCs w:val="32"/>
            <w:rtl/>
          </w:rPr>
          <w:alias w:val="1174"/>
          <w:tag w:val="1174"/>
          <w:id w:val="-1585920285"/>
          <w:text w:multiLine="1"/>
        </w:sdtPr>
        <w:sdtEndPr/>
        <w:sdtContent>
          <w:tc>
            <w:tcPr>
              <w:tcW w:w="8505" w:type="dxa"/>
            </w:tcPr>
            <w:p w:rsidR="001C5573" w:rsidRDefault="003D1C8C" w:rsidP="001C5573">
              <w:pPr>
                <w:pStyle w:val="a3"/>
                <w:jc w:val="center"/>
                <w:rPr>
                  <w:rFonts w:ascii="Tahoma" w:hAnsi="Tahoma"/>
                  <w:noProof w:val="0"/>
                  <w:color w:val="000080"/>
                  <w:sz w:val="32"/>
                  <w:szCs w:val="32"/>
                  <w:rtl/>
                </w:rPr>
              </w:pPr>
              <w:r w:rsidRPr="00FA4EAF">
                <w:rPr>
                  <w:rFonts w:ascii="Tahoma" w:hAnsi="Tahoma"/>
                  <w:b/>
                  <w:bCs/>
                  <w:color w:val="000080"/>
                  <w:sz w:val="32"/>
                  <w:szCs w:val="32"/>
                  <w:rtl/>
                </w:rPr>
                <w:t>בית משפט השלום בתל אביב -יפו</w:t>
              </w:r>
            </w:p>
            <w:p w:rsidR="00694556" w:rsidRPr="001C5573" w:rsidRDefault="00694556" w:rsidP="001C5573">
              <w:pPr>
                <w:tabs>
                  <w:tab w:val="left" w:pos="1421"/>
                </w:tabs>
                <w:rPr>
                  <w:rtl/>
                </w:rPr>
              </w:pPr>
            </w:p>
          </w:tc>
        </w:sdtContent>
      </w:sdt>
    </w:tr>
    <w:tr w:rsidR="00694556" w:rsidRPr="00FA4EAF" w:rsidTr="001C5573">
      <w:trPr>
        <w:trHeight w:val="337"/>
        <w:jc w:val="center"/>
      </w:trPr>
      <w:tc>
        <w:tcPr>
          <w:tcW w:w="8505" w:type="dxa"/>
        </w:tcPr>
        <w:p w:rsidR="007D45E3" w:rsidRPr="00FA4EAF" w:rsidRDefault="00971EEF" w:rsidP="00314311">
          <w:pPr>
            <w:rPr>
              <w:b/>
              <w:bCs/>
              <w:noProof w:val="0"/>
              <w:sz w:val="26"/>
              <w:szCs w:val="26"/>
              <w:rtl/>
            </w:rPr>
          </w:pPr>
          <w:sdt>
            <w:sdtPr>
              <w:rPr>
                <w:sz w:val="26"/>
                <w:szCs w:val="26"/>
                <w:rtl/>
              </w:rPr>
              <w:alias w:val="1170"/>
              <w:tag w:val="1170"/>
              <w:id w:val="1066377040"/>
              <w:text w:multiLine="1"/>
            </w:sdtPr>
            <w:sdtEndPr/>
            <w:sdtContent>
              <w:r w:rsidR="0016615E">
                <w:rPr>
                  <w:b/>
                  <w:bCs/>
                  <w:noProof w:val="0"/>
                  <w:sz w:val="26"/>
                  <w:szCs w:val="26"/>
                  <w:rtl/>
                </w:rPr>
                <w:t>ת"א</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16615E">
                <w:rPr>
                  <w:b/>
                  <w:bCs/>
                  <w:noProof w:val="0"/>
                  <w:sz w:val="26"/>
                  <w:szCs w:val="26"/>
                  <w:rtl/>
                </w:rPr>
                <w:t>65669-08-21</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6615E">
                <w:rPr>
                  <w:b/>
                  <w:bCs/>
                  <w:noProof w:val="0"/>
                  <w:sz w:val="26"/>
                  <w:szCs w:val="26"/>
                  <w:rtl/>
                </w:rPr>
                <w:t>פלג נ' בן חיים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72A" w:rsidRDefault="0016772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9487C"/>
    <w:multiLevelType w:val="hybridMultilevel"/>
    <w:tmpl w:val="444A5C10"/>
    <w:lvl w:ilvl="0" w:tplc="3682A3E6">
      <w:start w:val="1"/>
      <w:numFmt w:val="hebrew1"/>
      <w:lvlText w:val="(%1)"/>
      <w:lvlJc w:val="left"/>
      <w:pPr>
        <w:ind w:left="188" w:hanging="360"/>
      </w:pPr>
    </w:lvl>
    <w:lvl w:ilvl="1" w:tplc="04090019">
      <w:start w:val="1"/>
      <w:numFmt w:val="lowerLetter"/>
      <w:lvlText w:val="%2."/>
      <w:lvlJc w:val="left"/>
      <w:pPr>
        <w:ind w:left="908" w:hanging="360"/>
      </w:pPr>
    </w:lvl>
    <w:lvl w:ilvl="2" w:tplc="0409001B">
      <w:start w:val="1"/>
      <w:numFmt w:val="lowerRoman"/>
      <w:lvlText w:val="%3."/>
      <w:lvlJc w:val="right"/>
      <w:pPr>
        <w:ind w:left="1628" w:hanging="180"/>
      </w:pPr>
    </w:lvl>
    <w:lvl w:ilvl="3" w:tplc="0409000F">
      <w:start w:val="1"/>
      <w:numFmt w:val="decimal"/>
      <w:lvlText w:val="%4."/>
      <w:lvlJc w:val="left"/>
      <w:pPr>
        <w:ind w:left="2348" w:hanging="360"/>
      </w:pPr>
    </w:lvl>
    <w:lvl w:ilvl="4" w:tplc="04090019">
      <w:start w:val="1"/>
      <w:numFmt w:val="lowerLetter"/>
      <w:lvlText w:val="%5."/>
      <w:lvlJc w:val="left"/>
      <w:pPr>
        <w:ind w:left="3068" w:hanging="360"/>
      </w:pPr>
    </w:lvl>
    <w:lvl w:ilvl="5" w:tplc="0409001B">
      <w:start w:val="1"/>
      <w:numFmt w:val="lowerRoman"/>
      <w:lvlText w:val="%6."/>
      <w:lvlJc w:val="right"/>
      <w:pPr>
        <w:ind w:left="3788" w:hanging="180"/>
      </w:pPr>
    </w:lvl>
    <w:lvl w:ilvl="6" w:tplc="0409000F">
      <w:start w:val="1"/>
      <w:numFmt w:val="decimal"/>
      <w:lvlText w:val="%7."/>
      <w:lvlJc w:val="left"/>
      <w:pPr>
        <w:ind w:left="4508" w:hanging="360"/>
      </w:pPr>
    </w:lvl>
    <w:lvl w:ilvl="7" w:tplc="04090019">
      <w:start w:val="1"/>
      <w:numFmt w:val="lowerLetter"/>
      <w:lvlText w:val="%8."/>
      <w:lvlJc w:val="left"/>
      <w:pPr>
        <w:ind w:left="5228" w:hanging="360"/>
      </w:pPr>
    </w:lvl>
    <w:lvl w:ilvl="8" w:tplc="0409001B">
      <w:start w:val="1"/>
      <w:numFmt w:val="lowerRoman"/>
      <w:lvlText w:val="%9."/>
      <w:lvlJc w:val="right"/>
      <w:pPr>
        <w:ind w:left="5948" w:hanging="180"/>
      </w:pPr>
    </w:lvl>
  </w:abstractNum>
  <w:abstractNum w:abstractNumId="1" w15:restartNumberingAfterBreak="0">
    <w:nsid w:val="098E46FB"/>
    <w:multiLevelType w:val="hybridMultilevel"/>
    <w:tmpl w:val="8924D22A"/>
    <w:lvl w:ilvl="0" w:tplc="D8E8C3DC">
      <w:start w:val="1"/>
      <w:numFmt w:val="hebrew1"/>
      <w:lvlText w:val="(%1)"/>
      <w:lvlJc w:val="left"/>
      <w:pPr>
        <w:ind w:left="613" w:hanging="360"/>
      </w:pPr>
    </w:lvl>
    <w:lvl w:ilvl="1" w:tplc="04090019">
      <w:start w:val="1"/>
      <w:numFmt w:val="lowerLetter"/>
      <w:lvlText w:val="%2."/>
      <w:lvlJc w:val="left"/>
      <w:pPr>
        <w:ind w:left="1333" w:hanging="360"/>
      </w:pPr>
    </w:lvl>
    <w:lvl w:ilvl="2" w:tplc="0409001B">
      <w:start w:val="1"/>
      <w:numFmt w:val="lowerRoman"/>
      <w:lvlText w:val="%3."/>
      <w:lvlJc w:val="right"/>
      <w:pPr>
        <w:ind w:left="2053" w:hanging="180"/>
      </w:pPr>
    </w:lvl>
    <w:lvl w:ilvl="3" w:tplc="0409000F">
      <w:start w:val="1"/>
      <w:numFmt w:val="decimal"/>
      <w:lvlText w:val="%4."/>
      <w:lvlJc w:val="left"/>
      <w:pPr>
        <w:ind w:left="2773" w:hanging="360"/>
      </w:pPr>
    </w:lvl>
    <w:lvl w:ilvl="4" w:tplc="04090019">
      <w:start w:val="1"/>
      <w:numFmt w:val="lowerLetter"/>
      <w:lvlText w:val="%5."/>
      <w:lvlJc w:val="left"/>
      <w:pPr>
        <w:ind w:left="3493" w:hanging="360"/>
      </w:pPr>
    </w:lvl>
    <w:lvl w:ilvl="5" w:tplc="0409001B">
      <w:start w:val="1"/>
      <w:numFmt w:val="lowerRoman"/>
      <w:lvlText w:val="%6."/>
      <w:lvlJc w:val="right"/>
      <w:pPr>
        <w:ind w:left="4213" w:hanging="180"/>
      </w:pPr>
    </w:lvl>
    <w:lvl w:ilvl="6" w:tplc="0409000F">
      <w:start w:val="1"/>
      <w:numFmt w:val="decimal"/>
      <w:lvlText w:val="%7."/>
      <w:lvlJc w:val="left"/>
      <w:pPr>
        <w:ind w:left="4933" w:hanging="360"/>
      </w:pPr>
    </w:lvl>
    <w:lvl w:ilvl="7" w:tplc="04090019">
      <w:start w:val="1"/>
      <w:numFmt w:val="lowerLetter"/>
      <w:lvlText w:val="%8."/>
      <w:lvlJc w:val="left"/>
      <w:pPr>
        <w:ind w:left="5653" w:hanging="360"/>
      </w:pPr>
    </w:lvl>
    <w:lvl w:ilvl="8" w:tplc="0409001B">
      <w:start w:val="1"/>
      <w:numFmt w:val="lowerRoman"/>
      <w:lvlText w:val="%9."/>
      <w:lvlJc w:val="right"/>
      <w:pPr>
        <w:ind w:left="6373" w:hanging="180"/>
      </w:pPr>
    </w:lvl>
  </w:abstractNum>
  <w:abstractNum w:abstractNumId="2" w15:restartNumberingAfterBreak="0">
    <w:nsid w:val="10483F3A"/>
    <w:multiLevelType w:val="hybridMultilevel"/>
    <w:tmpl w:val="44608AC0"/>
    <w:lvl w:ilvl="0" w:tplc="38D46AA2">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3" w15:restartNumberingAfterBreak="0">
    <w:nsid w:val="16502E49"/>
    <w:multiLevelType w:val="multilevel"/>
    <w:tmpl w:val="EE329E3C"/>
    <w:lvl w:ilvl="0">
      <w:start w:val="1"/>
      <w:numFmt w:val="decimal"/>
      <w:lvlText w:val="%1."/>
      <w:lvlJc w:val="left"/>
      <w:pPr>
        <w:ind w:left="720" w:hanging="360"/>
      </w:pPr>
    </w:lvl>
    <w:lvl w:ilvl="1">
      <w:start w:val="1"/>
      <w:numFmt w:val="decimal"/>
      <w:isLgl/>
      <w:lvlText w:val="%1.%2"/>
      <w:lvlJc w:val="left"/>
      <w:pPr>
        <w:ind w:left="1069" w:hanging="360"/>
      </w:pPr>
      <w:rPr>
        <w:b w:val="0"/>
        <w:bCs w:val="0"/>
        <w:lang w:val="en-US" w:bidi="he-IL"/>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4" w15:restartNumberingAfterBreak="0">
    <w:nsid w:val="1B2E6A79"/>
    <w:multiLevelType w:val="hybridMultilevel"/>
    <w:tmpl w:val="BE2C2F18"/>
    <w:lvl w:ilvl="0" w:tplc="9C6E9342">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5" w15:restartNumberingAfterBreak="0">
    <w:nsid w:val="32DB42EA"/>
    <w:multiLevelType w:val="hybridMultilevel"/>
    <w:tmpl w:val="ACA81676"/>
    <w:lvl w:ilvl="0" w:tplc="94F4E924">
      <w:start w:val="1"/>
      <w:numFmt w:val="hebrew1"/>
      <w:lvlText w:val="(%1)"/>
      <w:lvlJc w:val="left"/>
      <w:pPr>
        <w:ind w:left="613" w:hanging="360"/>
      </w:pPr>
    </w:lvl>
    <w:lvl w:ilvl="1" w:tplc="04090019">
      <w:start w:val="1"/>
      <w:numFmt w:val="lowerLetter"/>
      <w:lvlText w:val="%2."/>
      <w:lvlJc w:val="left"/>
      <w:pPr>
        <w:ind w:left="1333" w:hanging="360"/>
      </w:pPr>
    </w:lvl>
    <w:lvl w:ilvl="2" w:tplc="0409001B">
      <w:start w:val="1"/>
      <w:numFmt w:val="lowerRoman"/>
      <w:lvlText w:val="%3."/>
      <w:lvlJc w:val="right"/>
      <w:pPr>
        <w:ind w:left="2053" w:hanging="180"/>
      </w:pPr>
    </w:lvl>
    <w:lvl w:ilvl="3" w:tplc="0409000F">
      <w:start w:val="1"/>
      <w:numFmt w:val="decimal"/>
      <w:lvlText w:val="%4."/>
      <w:lvlJc w:val="left"/>
      <w:pPr>
        <w:ind w:left="2773" w:hanging="360"/>
      </w:pPr>
    </w:lvl>
    <w:lvl w:ilvl="4" w:tplc="04090019">
      <w:start w:val="1"/>
      <w:numFmt w:val="lowerLetter"/>
      <w:lvlText w:val="%5."/>
      <w:lvlJc w:val="left"/>
      <w:pPr>
        <w:ind w:left="3493" w:hanging="360"/>
      </w:pPr>
    </w:lvl>
    <w:lvl w:ilvl="5" w:tplc="0409001B">
      <w:start w:val="1"/>
      <w:numFmt w:val="lowerRoman"/>
      <w:lvlText w:val="%6."/>
      <w:lvlJc w:val="right"/>
      <w:pPr>
        <w:ind w:left="4213" w:hanging="180"/>
      </w:pPr>
    </w:lvl>
    <w:lvl w:ilvl="6" w:tplc="0409000F">
      <w:start w:val="1"/>
      <w:numFmt w:val="decimal"/>
      <w:lvlText w:val="%7."/>
      <w:lvlJc w:val="left"/>
      <w:pPr>
        <w:ind w:left="4933" w:hanging="360"/>
      </w:pPr>
    </w:lvl>
    <w:lvl w:ilvl="7" w:tplc="04090019">
      <w:start w:val="1"/>
      <w:numFmt w:val="lowerLetter"/>
      <w:lvlText w:val="%8."/>
      <w:lvlJc w:val="left"/>
      <w:pPr>
        <w:ind w:left="5653" w:hanging="360"/>
      </w:pPr>
    </w:lvl>
    <w:lvl w:ilvl="8" w:tplc="0409001B">
      <w:start w:val="1"/>
      <w:numFmt w:val="lowerRoman"/>
      <w:lvlText w:val="%9."/>
      <w:lvlJc w:val="right"/>
      <w:pPr>
        <w:ind w:left="6373" w:hanging="180"/>
      </w:pPr>
    </w:lvl>
  </w:abstractNum>
  <w:abstractNum w:abstractNumId="6" w15:restartNumberingAfterBreak="0">
    <w:nsid w:val="414D55BC"/>
    <w:multiLevelType w:val="hybridMultilevel"/>
    <w:tmpl w:val="53D68BAC"/>
    <w:lvl w:ilvl="0" w:tplc="6DEA44D6">
      <w:start w:val="1"/>
      <w:numFmt w:val="hebrew1"/>
      <w:lvlText w:val="(%1)"/>
      <w:lvlJc w:val="left"/>
      <w:pPr>
        <w:ind w:left="613" w:hanging="360"/>
      </w:pPr>
    </w:lvl>
    <w:lvl w:ilvl="1" w:tplc="04090019">
      <w:start w:val="1"/>
      <w:numFmt w:val="lowerLetter"/>
      <w:lvlText w:val="%2."/>
      <w:lvlJc w:val="left"/>
      <w:pPr>
        <w:ind w:left="1333" w:hanging="360"/>
      </w:pPr>
    </w:lvl>
    <w:lvl w:ilvl="2" w:tplc="0409001B">
      <w:start w:val="1"/>
      <w:numFmt w:val="lowerRoman"/>
      <w:lvlText w:val="%3."/>
      <w:lvlJc w:val="right"/>
      <w:pPr>
        <w:ind w:left="2053" w:hanging="180"/>
      </w:pPr>
    </w:lvl>
    <w:lvl w:ilvl="3" w:tplc="0409000F">
      <w:start w:val="1"/>
      <w:numFmt w:val="decimal"/>
      <w:lvlText w:val="%4."/>
      <w:lvlJc w:val="left"/>
      <w:pPr>
        <w:ind w:left="2773" w:hanging="360"/>
      </w:pPr>
    </w:lvl>
    <w:lvl w:ilvl="4" w:tplc="04090019">
      <w:start w:val="1"/>
      <w:numFmt w:val="lowerLetter"/>
      <w:lvlText w:val="%5."/>
      <w:lvlJc w:val="left"/>
      <w:pPr>
        <w:ind w:left="3493" w:hanging="360"/>
      </w:pPr>
    </w:lvl>
    <w:lvl w:ilvl="5" w:tplc="0409001B">
      <w:start w:val="1"/>
      <w:numFmt w:val="lowerRoman"/>
      <w:lvlText w:val="%6."/>
      <w:lvlJc w:val="right"/>
      <w:pPr>
        <w:ind w:left="4213" w:hanging="180"/>
      </w:pPr>
    </w:lvl>
    <w:lvl w:ilvl="6" w:tplc="0409000F">
      <w:start w:val="1"/>
      <w:numFmt w:val="decimal"/>
      <w:lvlText w:val="%7."/>
      <w:lvlJc w:val="left"/>
      <w:pPr>
        <w:ind w:left="4933" w:hanging="360"/>
      </w:pPr>
    </w:lvl>
    <w:lvl w:ilvl="7" w:tplc="04090019">
      <w:start w:val="1"/>
      <w:numFmt w:val="lowerLetter"/>
      <w:lvlText w:val="%8."/>
      <w:lvlJc w:val="left"/>
      <w:pPr>
        <w:ind w:left="5653" w:hanging="360"/>
      </w:pPr>
    </w:lvl>
    <w:lvl w:ilvl="8" w:tplc="0409001B">
      <w:start w:val="1"/>
      <w:numFmt w:val="lowerRoman"/>
      <w:lvlText w:val="%9."/>
      <w:lvlJc w:val="right"/>
      <w:pPr>
        <w:ind w:left="6373" w:hanging="180"/>
      </w:pPr>
    </w:lvl>
  </w:abstractNum>
  <w:abstractNum w:abstractNumId="7" w15:restartNumberingAfterBreak="0">
    <w:nsid w:val="47BA7BFF"/>
    <w:multiLevelType w:val="hybridMultilevel"/>
    <w:tmpl w:val="1C404532"/>
    <w:lvl w:ilvl="0" w:tplc="73528E2E">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8" w15:restartNumberingAfterBreak="0">
    <w:nsid w:val="4B6F3633"/>
    <w:multiLevelType w:val="hybridMultilevel"/>
    <w:tmpl w:val="8F80C96E"/>
    <w:lvl w:ilvl="0" w:tplc="41920DE6">
      <w:numFmt w:val="bullet"/>
      <w:lvlText w:val="-"/>
      <w:lvlJc w:val="left"/>
      <w:pPr>
        <w:ind w:left="755" w:hanging="360"/>
      </w:pPr>
      <w:rPr>
        <w:rFonts w:ascii="David" w:eastAsiaTheme="minorHAnsi" w:hAnsi="David" w:cs="David" w:hint="default"/>
      </w:rPr>
    </w:lvl>
    <w:lvl w:ilvl="1" w:tplc="04090003">
      <w:start w:val="1"/>
      <w:numFmt w:val="bullet"/>
      <w:lvlText w:val="o"/>
      <w:lvlJc w:val="left"/>
      <w:pPr>
        <w:ind w:left="1475" w:hanging="360"/>
      </w:pPr>
      <w:rPr>
        <w:rFonts w:ascii="Courier New" w:hAnsi="Courier New" w:cs="Courier New" w:hint="default"/>
      </w:rPr>
    </w:lvl>
    <w:lvl w:ilvl="2" w:tplc="04090005">
      <w:start w:val="1"/>
      <w:numFmt w:val="bullet"/>
      <w:lvlText w:val=""/>
      <w:lvlJc w:val="left"/>
      <w:pPr>
        <w:ind w:left="2195" w:hanging="360"/>
      </w:pPr>
      <w:rPr>
        <w:rFonts w:ascii="Wingdings" w:hAnsi="Wingdings" w:hint="default"/>
      </w:rPr>
    </w:lvl>
    <w:lvl w:ilvl="3" w:tplc="04090001">
      <w:start w:val="1"/>
      <w:numFmt w:val="bullet"/>
      <w:lvlText w:val=""/>
      <w:lvlJc w:val="left"/>
      <w:pPr>
        <w:ind w:left="2915" w:hanging="360"/>
      </w:pPr>
      <w:rPr>
        <w:rFonts w:ascii="Symbol" w:hAnsi="Symbol" w:hint="default"/>
      </w:rPr>
    </w:lvl>
    <w:lvl w:ilvl="4" w:tplc="04090003">
      <w:start w:val="1"/>
      <w:numFmt w:val="bullet"/>
      <w:lvlText w:val="o"/>
      <w:lvlJc w:val="left"/>
      <w:pPr>
        <w:ind w:left="3635" w:hanging="360"/>
      </w:pPr>
      <w:rPr>
        <w:rFonts w:ascii="Courier New" w:hAnsi="Courier New" w:cs="Courier New" w:hint="default"/>
      </w:rPr>
    </w:lvl>
    <w:lvl w:ilvl="5" w:tplc="04090005">
      <w:start w:val="1"/>
      <w:numFmt w:val="bullet"/>
      <w:lvlText w:val=""/>
      <w:lvlJc w:val="left"/>
      <w:pPr>
        <w:ind w:left="4355" w:hanging="360"/>
      </w:pPr>
      <w:rPr>
        <w:rFonts w:ascii="Wingdings" w:hAnsi="Wingdings" w:hint="default"/>
      </w:rPr>
    </w:lvl>
    <w:lvl w:ilvl="6" w:tplc="04090001">
      <w:start w:val="1"/>
      <w:numFmt w:val="bullet"/>
      <w:lvlText w:val=""/>
      <w:lvlJc w:val="left"/>
      <w:pPr>
        <w:ind w:left="5075" w:hanging="360"/>
      </w:pPr>
      <w:rPr>
        <w:rFonts w:ascii="Symbol" w:hAnsi="Symbol" w:hint="default"/>
      </w:rPr>
    </w:lvl>
    <w:lvl w:ilvl="7" w:tplc="04090003">
      <w:start w:val="1"/>
      <w:numFmt w:val="bullet"/>
      <w:lvlText w:val="o"/>
      <w:lvlJc w:val="left"/>
      <w:pPr>
        <w:ind w:left="5795" w:hanging="360"/>
      </w:pPr>
      <w:rPr>
        <w:rFonts w:ascii="Courier New" w:hAnsi="Courier New" w:cs="Courier New" w:hint="default"/>
      </w:rPr>
    </w:lvl>
    <w:lvl w:ilvl="8" w:tplc="04090005">
      <w:start w:val="1"/>
      <w:numFmt w:val="bullet"/>
      <w:lvlText w:val=""/>
      <w:lvlJc w:val="left"/>
      <w:pPr>
        <w:ind w:left="6515" w:hanging="360"/>
      </w:pPr>
      <w:rPr>
        <w:rFonts w:ascii="Wingdings" w:hAnsi="Wingdings" w:hint="default"/>
      </w:rPr>
    </w:lvl>
  </w:abstractNum>
  <w:abstractNum w:abstractNumId="9" w15:restartNumberingAfterBreak="0">
    <w:nsid w:val="76C70D4D"/>
    <w:multiLevelType w:val="hybridMultilevel"/>
    <w:tmpl w:val="66C02B34"/>
    <w:lvl w:ilvl="0" w:tplc="57420A74">
      <w:numFmt w:val="bullet"/>
      <w:lvlText w:val="-"/>
      <w:lvlJc w:val="left"/>
      <w:pPr>
        <w:ind w:left="755" w:hanging="360"/>
      </w:pPr>
      <w:rPr>
        <w:rFonts w:ascii="David" w:eastAsiaTheme="minorHAnsi" w:hAnsi="David" w:cs="David" w:hint="default"/>
      </w:rPr>
    </w:lvl>
    <w:lvl w:ilvl="1" w:tplc="04090003">
      <w:start w:val="1"/>
      <w:numFmt w:val="bullet"/>
      <w:lvlText w:val="o"/>
      <w:lvlJc w:val="left"/>
      <w:pPr>
        <w:ind w:left="1475" w:hanging="360"/>
      </w:pPr>
      <w:rPr>
        <w:rFonts w:ascii="Courier New" w:hAnsi="Courier New" w:cs="Courier New" w:hint="default"/>
      </w:rPr>
    </w:lvl>
    <w:lvl w:ilvl="2" w:tplc="04090005">
      <w:start w:val="1"/>
      <w:numFmt w:val="bullet"/>
      <w:lvlText w:val=""/>
      <w:lvlJc w:val="left"/>
      <w:pPr>
        <w:ind w:left="2195" w:hanging="360"/>
      </w:pPr>
      <w:rPr>
        <w:rFonts w:ascii="Wingdings" w:hAnsi="Wingdings" w:hint="default"/>
      </w:rPr>
    </w:lvl>
    <w:lvl w:ilvl="3" w:tplc="04090001">
      <w:start w:val="1"/>
      <w:numFmt w:val="bullet"/>
      <w:lvlText w:val=""/>
      <w:lvlJc w:val="left"/>
      <w:pPr>
        <w:ind w:left="2915" w:hanging="360"/>
      </w:pPr>
      <w:rPr>
        <w:rFonts w:ascii="Symbol" w:hAnsi="Symbol" w:hint="default"/>
      </w:rPr>
    </w:lvl>
    <w:lvl w:ilvl="4" w:tplc="04090003">
      <w:start w:val="1"/>
      <w:numFmt w:val="bullet"/>
      <w:lvlText w:val="o"/>
      <w:lvlJc w:val="left"/>
      <w:pPr>
        <w:ind w:left="3635" w:hanging="360"/>
      </w:pPr>
      <w:rPr>
        <w:rFonts w:ascii="Courier New" w:hAnsi="Courier New" w:cs="Courier New" w:hint="default"/>
      </w:rPr>
    </w:lvl>
    <w:lvl w:ilvl="5" w:tplc="04090005">
      <w:start w:val="1"/>
      <w:numFmt w:val="bullet"/>
      <w:lvlText w:val=""/>
      <w:lvlJc w:val="left"/>
      <w:pPr>
        <w:ind w:left="4355" w:hanging="360"/>
      </w:pPr>
      <w:rPr>
        <w:rFonts w:ascii="Wingdings" w:hAnsi="Wingdings" w:hint="default"/>
      </w:rPr>
    </w:lvl>
    <w:lvl w:ilvl="6" w:tplc="04090001">
      <w:start w:val="1"/>
      <w:numFmt w:val="bullet"/>
      <w:lvlText w:val=""/>
      <w:lvlJc w:val="left"/>
      <w:pPr>
        <w:ind w:left="5075" w:hanging="360"/>
      </w:pPr>
      <w:rPr>
        <w:rFonts w:ascii="Symbol" w:hAnsi="Symbol" w:hint="default"/>
      </w:rPr>
    </w:lvl>
    <w:lvl w:ilvl="7" w:tplc="04090003">
      <w:start w:val="1"/>
      <w:numFmt w:val="bullet"/>
      <w:lvlText w:val="o"/>
      <w:lvlJc w:val="left"/>
      <w:pPr>
        <w:ind w:left="5795" w:hanging="360"/>
      </w:pPr>
      <w:rPr>
        <w:rFonts w:ascii="Courier New" w:hAnsi="Courier New" w:cs="Courier New" w:hint="default"/>
      </w:rPr>
    </w:lvl>
    <w:lvl w:ilvl="8" w:tplc="04090005">
      <w:start w:val="1"/>
      <w:numFmt w:val="bullet"/>
      <w:lvlText w:val=""/>
      <w:lvlJc w:val="left"/>
      <w:pPr>
        <w:ind w:left="6515" w:hanging="360"/>
      </w:pPr>
      <w:rPr>
        <w:rFonts w:ascii="Wingdings" w:hAnsi="Wingdings" w:hint="default"/>
      </w:rPr>
    </w:lvl>
  </w:abstractNum>
  <w:abstractNum w:abstractNumId="10" w15:restartNumberingAfterBreak="0">
    <w:nsid w:val="798D760F"/>
    <w:multiLevelType w:val="hybridMultilevel"/>
    <w:tmpl w:val="0252695E"/>
    <w:lvl w:ilvl="0" w:tplc="2A5A3C0C">
      <w:start w:val="1"/>
      <w:numFmt w:val="hebrew1"/>
      <w:lvlText w:val="(%1)"/>
      <w:lvlJc w:val="left"/>
      <w:pPr>
        <w:ind w:left="613" w:hanging="360"/>
      </w:pPr>
    </w:lvl>
    <w:lvl w:ilvl="1" w:tplc="04090019">
      <w:start w:val="1"/>
      <w:numFmt w:val="lowerLetter"/>
      <w:lvlText w:val="%2."/>
      <w:lvlJc w:val="left"/>
      <w:pPr>
        <w:ind w:left="1333" w:hanging="360"/>
      </w:pPr>
    </w:lvl>
    <w:lvl w:ilvl="2" w:tplc="0409001B">
      <w:start w:val="1"/>
      <w:numFmt w:val="lowerRoman"/>
      <w:lvlText w:val="%3."/>
      <w:lvlJc w:val="right"/>
      <w:pPr>
        <w:ind w:left="2053" w:hanging="180"/>
      </w:pPr>
    </w:lvl>
    <w:lvl w:ilvl="3" w:tplc="0409000F">
      <w:start w:val="1"/>
      <w:numFmt w:val="decimal"/>
      <w:lvlText w:val="%4."/>
      <w:lvlJc w:val="left"/>
      <w:pPr>
        <w:ind w:left="2773" w:hanging="360"/>
      </w:pPr>
    </w:lvl>
    <w:lvl w:ilvl="4" w:tplc="04090019">
      <w:start w:val="1"/>
      <w:numFmt w:val="lowerLetter"/>
      <w:lvlText w:val="%5."/>
      <w:lvlJc w:val="left"/>
      <w:pPr>
        <w:ind w:left="3493" w:hanging="360"/>
      </w:pPr>
    </w:lvl>
    <w:lvl w:ilvl="5" w:tplc="0409001B">
      <w:start w:val="1"/>
      <w:numFmt w:val="lowerRoman"/>
      <w:lvlText w:val="%6."/>
      <w:lvlJc w:val="right"/>
      <w:pPr>
        <w:ind w:left="4213" w:hanging="180"/>
      </w:pPr>
    </w:lvl>
    <w:lvl w:ilvl="6" w:tplc="0409000F">
      <w:start w:val="1"/>
      <w:numFmt w:val="decimal"/>
      <w:lvlText w:val="%7."/>
      <w:lvlJc w:val="left"/>
      <w:pPr>
        <w:ind w:left="4933" w:hanging="360"/>
      </w:pPr>
    </w:lvl>
    <w:lvl w:ilvl="7" w:tplc="04090019">
      <w:start w:val="1"/>
      <w:numFmt w:val="lowerLetter"/>
      <w:lvlText w:val="%8."/>
      <w:lvlJc w:val="left"/>
      <w:pPr>
        <w:ind w:left="5653" w:hanging="360"/>
      </w:pPr>
    </w:lvl>
    <w:lvl w:ilvl="8" w:tplc="0409001B">
      <w:start w:val="1"/>
      <w:numFmt w:val="lowerRoman"/>
      <w:lvlText w:val="%9."/>
      <w:lvlJc w:val="right"/>
      <w:pPr>
        <w:ind w:left="6373"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26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1170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611708&amp;lt;/CaseID&amp;gt;_x000d__x000a_        &amp;lt;CaseMonth&amp;gt;8&amp;lt;/CaseMonth&amp;gt;_x000d__x000a_        &amp;lt;CaseYear&amp;gt;2021&amp;lt;/CaseYear&amp;gt;_x000d__x000a_        &amp;lt;CaseNumber&amp;gt;65669&amp;lt;/CaseNumber&amp;gt;_x000d__x000a_        &amp;lt;NumeratorGroupID&amp;gt;1&amp;lt;/NumeratorGroupID&amp;gt;_x000d__x000a_        &amp;lt;CaseName&amp;gt;פלג נ&amp;#39; בן חיים ואח&amp;#39;&amp;lt;/CaseName&amp;gt;_x000d__x000a_        &amp;lt;CourtID&amp;gt;32&amp;lt;/CourtID&amp;gt;_x000d__x000a_        &amp;lt;CaseTypeID&amp;gt;1&amp;lt;/CaseTypeID&amp;gt;_x000d__x000a_        &amp;lt;CaseInterestID&amp;gt;41&amp;lt;/CaseInterestID&amp;gt;_x000d__x000a_        &amp;lt;CaseJudgeName&amp;gt;אביים ברקאי&amp;lt;/CaseJudgeName&amp;gt;_x000d__x000a_        &amp;lt;CaseLinkTypeID&amp;gt;7&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true&amp;lt;/IsAppealingCaseExist&amp;gt;_x000d__x000a_        &amp;lt;CaseDisplayIdentifier&amp;gt;65669-08-21&amp;lt;/CaseDisplayIdentifier&amp;gt;_x000d__x000a_        &amp;lt;CaseTypeDesc&amp;gt;ת&amp;quot;א&amp;lt;/CaseTypeDesc&amp;gt;_x000d__x000a_        &amp;lt;CourtDesc&amp;gt;שלום תל אביב - יפו&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true&amp;lt;/IsUnpaidFeeExist&amp;gt;_x000d__x000a_        &amp;lt;IsExecutionDelayed&amp;gt;false&amp;lt;/IsExecutionDelayed&amp;gt;_x000d__x000a_        &amp;lt;CasePreviousSessionDate&amp;gt;2024-01-25T06:30:00+02:00&amp;lt;/CasePreviousSessionDate&amp;gt;_x000d__x000a_        &amp;lt;CaseNextDeterminingTask&amp;gt;257&amp;lt;/CaseNextDeterminingTask&amp;gt;_x000d__x000a_        &amp;lt;TemporaryAidStatus&amp;gt;קיימות בקשות לסעדים זמניים בתיק&amp;lt;/TemporaryAidStatus&amp;gt;_x000d__x000a_        &amp;lt;CaseOpenDate&amp;gt;2021-08-31T06:52:13+03:00&amp;lt;/CaseOpenDate&amp;gt;_x000d__x000a_        &amp;lt;PleaTypeID&amp;gt;4&amp;lt;/PleaTypeID&amp;gt;_x000d__x000a_        &amp;lt;CourtLevelID&amp;gt;1&amp;lt;/CourtLevelID&amp;gt;_x000d__x000a_        &amp;lt;CourtLevelCaseTypeInterestID&amp;gt;9&amp;lt;/CourtLevelCaseTypeInterestID&amp;gt;_x000d__x000a_        &amp;lt;CaseJudgeFirstName&amp;gt;אביים&amp;lt;/CaseJudgeFirstName&amp;gt;_x000d__x000a_        &amp;lt;CaseJudgeLastName&amp;gt;ברקאי&amp;lt;/CaseJudgeLastName&amp;gt;_x000d__x000a_        &amp;lt;JudicalPersonID&amp;gt;022147607@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IsMainCase&amp;gt;false&amp;lt;/IsMainCase&amp;gt;_x000d__x000a_        &amp;lt;CaseDesc&amp;gt;ב&amp;quot;כ הנתבע הפקיד 900 ש&amp;quot;ח._x000d__x000a_מבקש לזמן את עדים 2-4 בלבד&amp;lt;/CaseDesc&amp;gt;_x000d__x000a_        &amp;lt;isExistMinorSide&amp;gt;false&amp;lt;/isExistMinorSide&amp;gt;_x000d__x000a_        &amp;lt;isExistMinorWitness&amp;gt;false&amp;lt;/isExistMinorWitness&amp;gt;_x000d__x000a_        &amp;lt;CasePreviousSessionTypeID&amp;gt;29&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611708&amp;lt;/CaseID&amp;gt;_x000d__x000a_        &amp;lt;CaseMonth&amp;gt;8&amp;lt;/CaseMonth&amp;gt;_x000d__x000a_        &amp;lt;CaseYear&amp;gt;2021&amp;lt;/CaseYear&amp;gt;_x000d__x000a_        &amp;lt;CaseNumber&amp;gt;65669&amp;lt;/CaseNumber&amp;gt;_x000d__x000a_        &amp;lt;NumeratorGroupID&amp;gt;1&amp;lt;/NumeratorGroupID&amp;gt;_x000d__x000a_        &amp;lt;CaseName&amp;gt;פלג נ&amp;#39; בן חיים ואח&amp;#39;&amp;lt;/CaseName&amp;gt;_x000d__x000a_        &amp;lt;CourtID&amp;gt;32&amp;lt;/CourtID&amp;gt;_x000d__x000a_        &amp;lt;CaseTypeID&amp;gt;1&amp;lt;/CaseTypeID&amp;gt;_x000d__x000a_        &amp;lt;CaseInterestID&amp;gt;41&amp;lt;/CaseInterestID&amp;gt;_x000d__x000a_        &amp;lt;CaseJudgeName&amp;gt;אביים ברקאי&amp;lt;/CaseJudgeName&amp;gt;_x000d__x000a_        &amp;lt;CaseLinkTypeID&amp;gt;7&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true&amp;lt;/IsAppealingCaseExist&amp;gt;_x000d__x000a_        &amp;lt;CaseDisplayIdentifier&amp;gt;65669-08-21&amp;lt;/CaseDisplayIdentifier&amp;gt;_x000d__x000a_        &amp;lt;CaseTypeDesc&amp;gt;ת&amp;quot;א&amp;lt;/CaseTypeDesc&amp;gt;_x000d__x000a_        &amp;lt;CourtDesc&amp;gt;שלום תל אביב - יפו&amp;lt;/CourtDesc&amp;gt;_x000d__x000a_        &amp;lt;CaseStageDesc&amp;gt;תיק אלקטרוני&amp;lt;/CaseStageDesc&amp;gt;_x000d__x000a_        &amp;lt;CaseNextDeterminingTask&amp;gt;257&amp;lt;/CaseNextDeterminingTask&amp;gt;_x000d__x000a_        &amp;lt;CaseOpenDate&amp;gt;2021-08-31T06:52:13+03:00&amp;lt;/CaseOpenDate&amp;gt;_x000d__x000a_        &amp;lt;PleaTypeID&amp;gt;4&amp;lt;/PleaTypeID&amp;gt;_x000d__x000a_        &amp;lt;CourtLevelID&amp;gt;1&amp;lt;/CourtLevelID&amp;gt;_x000d__x000a_        &amp;lt;CourtLevelCaseTypeInterestID&amp;gt;9&amp;lt;/CourtLevelCaseTypeInterestID&amp;gt;_x000d__x000a_        &amp;lt;CaseJudgeFirstName&amp;gt;אביים&amp;lt;/CaseJudgeFirstName&amp;gt;_x000d__x000a_        &amp;lt;CaseJudgeLastName&amp;gt;ברקאי&amp;lt;/CaseJudgeLastName&amp;gt;_x000d__x000a_        &amp;lt;JudicalPersonID&amp;gt;022147607@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IsMainCase&amp;gt;false&amp;lt;/IsMainCase&amp;gt;_x000d__x000a_        &amp;lt;CaseDesc&amp;gt;ב&amp;quot;כ הנתבע הפקיד 900 ש&amp;quot;ח._x000d__x000a_מבקש לזמן את עדים 2-4 בלבד&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11T16:01:05.7304927+03:00&amp;lt;/DecisionStatusChangeDate&amp;gt;_x000d__x000a_        &amp;lt;DecisionSignatureDate&amp;gt;2024-06-11T16:01:05.7304927+03:00&amp;lt;/DecisionSignatureDate&amp;gt;_x000d__x000a_        &amp;lt;DecisionSignatureUserID&amp;gt;022147607@GOV.IL&amp;lt;/DecisionSignatureUserID&amp;gt;_x000d__x000a_        &amp;lt;DecisionCreateDate&amp;gt;2024-06-11T16:01:05.7304927+03:00&amp;lt;/DecisionCreateDate&amp;gt;_x000d__x000a_        &amp;lt;DecisionChangeDate&amp;gt;2024-06-11T16:01:05.7304927+03:00&amp;lt;/DecisionChangeDate&amp;gt;_x000d__x000a_        &amp;lt;DecisionChangeUserID&amp;gt;02214760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14760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14760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61170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41"/>
    <w:docVar w:name="NGCS.TemplateCaseTypeID" w:val="1"/>
    <w:docVar w:name="NGCS.TemplateCategoryID" w:val="80"/>
    <w:docVar w:name="NGCS.TemplateCourtID" w:val="32"/>
    <w:docVar w:name="NGCS.TemplateProceedingID" w:val="1"/>
    <w:docVar w:name="SelectedDocumentID" w:val="362105830"/>
    <w:docVar w:name="WordClientAssemblyName" w:val="NGCS.Decision.ClientWordBL"/>
    <w:docVar w:name="WordClientClassName" w:val="NGCS.Decision.ClientWordBL.DecisionClient"/>
  </w:docVars>
  <w:rsids>
    <w:rsidRoot w:val="00694556"/>
    <w:rsid w:val="00000062"/>
    <w:rsid w:val="0000226B"/>
    <w:rsid w:val="00005C8B"/>
    <w:rsid w:val="0001404F"/>
    <w:rsid w:val="00040D07"/>
    <w:rsid w:val="000419B6"/>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384E"/>
    <w:rsid w:val="00144D2A"/>
    <w:rsid w:val="0014653E"/>
    <w:rsid w:val="0016615E"/>
    <w:rsid w:val="0016772A"/>
    <w:rsid w:val="00180519"/>
    <w:rsid w:val="00191C82"/>
    <w:rsid w:val="001C3FD7"/>
    <w:rsid w:val="001C4003"/>
    <w:rsid w:val="001C5573"/>
    <w:rsid w:val="001D3441"/>
    <w:rsid w:val="001D4DBF"/>
    <w:rsid w:val="001E75CA"/>
    <w:rsid w:val="002265FF"/>
    <w:rsid w:val="00242D9E"/>
    <w:rsid w:val="00271B56"/>
    <w:rsid w:val="00291593"/>
    <w:rsid w:val="002C344E"/>
    <w:rsid w:val="002D2705"/>
    <w:rsid w:val="002D7668"/>
    <w:rsid w:val="002E75E9"/>
    <w:rsid w:val="002F75E2"/>
    <w:rsid w:val="00307A6A"/>
    <w:rsid w:val="00307C40"/>
    <w:rsid w:val="00314311"/>
    <w:rsid w:val="00320433"/>
    <w:rsid w:val="003230C7"/>
    <w:rsid w:val="00327E50"/>
    <w:rsid w:val="0033597A"/>
    <w:rsid w:val="00343D89"/>
    <w:rsid w:val="00354C8B"/>
    <w:rsid w:val="00362612"/>
    <w:rsid w:val="0036743F"/>
    <w:rsid w:val="003715DD"/>
    <w:rsid w:val="003763AB"/>
    <w:rsid w:val="003823E0"/>
    <w:rsid w:val="00386327"/>
    <w:rsid w:val="003A2359"/>
    <w:rsid w:val="003A4521"/>
    <w:rsid w:val="003A5B6D"/>
    <w:rsid w:val="003D1C8C"/>
    <w:rsid w:val="0040096C"/>
    <w:rsid w:val="00414F1F"/>
    <w:rsid w:val="0043125D"/>
    <w:rsid w:val="0043502B"/>
    <w:rsid w:val="004443AC"/>
    <w:rsid w:val="00451E28"/>
    <w:rsid w:val="00462C62"/>
    <w:rsid w:val="00465D36"/>
    <w:rsid w:val="004C17EE"/>
    <w:rsid w:val="004C4BDF"/>
    <w:rsid w:val="004C7358"/>
    <w:rsid w:val="004D1187"/>
    <w:rsid w:val="004D1998"/>
    <w:rsid w:val="004D3AA0"/>
    <w:rsid w:val="004E1987"/>
    <w:rsid w:val="004E2E15"/>
    <w:rsid w:val="004E6E3C"/>
    <w:rsid w:val="004F1E5B"/>
    <w:rsid w:val="00515021"/>
    <w:rsid w:val="00515093"/>
    <w:rsid w:val="00520898"/>
    <w:rsid w:val="00523621"/>
    <w:rsid w:val="00524986"/>
    <w:rsid w:val="005268F6"/>
    <w:rsid w:val="00534284"/>
    <w:rsid w:val="00540E67"/>
    <w:rsid w:val="0054494A"/>
    <w:rsid w:val="00547DB7"/>
    <w:rsid w:val="005F4F09"/>
    <w:rsid w:val="0061431B"/>
    <w:rsid w:val="00617CEE"/>
    <w:rsid w:val="00622BAA"/>
    <w:rsid w:val="006306CF"/>
    <w:rsid w:val="00640603"/>
    <w:rsid w:val="00644E9A"/>
    <w:rsid w:val="00671BD5"/>
    <w:rsid w:val="006805C1"/>
    <w:rsid w:val="006841E0"/>
    <w:rsid w:val="00686C21"/>
    <w:rsid w:val="006931C1"/>
    <w:rsid w:val="00694556"/>
    <w:rsid w:val="006C30C5"/>
    <w:rsid w:val="006D3B31"/>
    <w:rsid w:val="006E0D96"/>
    <w:rsid w:val="006E1A53"/>
    <w:rsid w:val="006F56E6"/>
    <w:rsid w:val="00704EDA"/>
    <w:rsid w:val="00721122"/>
    <w:rsid w:val="00744B1C"/>
    <w:rsid w:val="00753019"/>
    <w:rsid w:val="00754801"/>
    <w:rsid w:val="00795365"/>
    <w:rsid w:val="007A351D"/>
    <w:rsid w:val="007A52B3"/>
    <w:rsid w:val="007B0ADB"/>
    <w:rsid w:val="007B7765"/>
    <w:rsid w:val="007C5BDD"/>
    <w:rsid w:val="007D45E3"/>
    <w:rsid w:val="007E6115"/>
    <w:rsid w:val="007F09CE"/>
    <w:rsid w:val="007F4609"/>
    <w:rsid w:val="008176A1"/>
    <w:rsid w:val="00820005"/>
    <w:rsid w:val="00844318"/>
    <w:rsid w:val="00863F5D"/>
    <w:rsid w:val="00870890"/>
    <w:rsid w:val="00873602"/>
    <w:rsid w:val="00875D12"/>
    <w:rsid w:val="008800CD"/>
    <w:rsid w:val="0088479D"/>
    <w:rsid w:val="008924AB"/>
    <w:rsid w:val="00896889"/>
    <w:rsid w:val="00897713"/>
    <w:rsid w:val="008C5714"/>
    <w:rsid w:val="008C7A1D"/>
    <w:rsid w:val="008D10B2"/>
    <w:rsid w:val="008E3E78"/>
    <w:rsid w:val="00903896"/>
    <w:rsid w:val="00906F3D"/>
    <w:rsid w:val="00912A5E"/>
    <w:rsid w:val="0094424E"/>
    <w:rsid w:val="00954A70"/>
    <w:rsid w:val="00955642"/>
    <w:rsid w:val="009622DF"/>
    <w:rsid w:val="00967DFF"/>
    <w:rsid w:val="00971EEF"/>
    <w:rsid w:val="0097272B"/>
    <w:rsid w:val="00994341"/>
    <w:rsid w:val="009B4939"/>
    <w:rsid w:val="009D1A48"/>
    <w:rsid w:val="009E1CE7"/>
    <w:rsid w:val="009E4EA5"/>
    <w:rsid w:val="009E5DED"/>
    <w:rsid w:val="009F164B"/>
    <w:rsid w:val="009F323C"/>
    <w:rsid w:val="00A03128"/>
    <w:rsid w:val="00A3392B"/>
    <w:rsid w:val="00A413A4"/>
    <w:rsid w:val="00A94B64"/>
    <w:rsid w:val="00A971A0"/>
    <w:rsid w:val="00AA3229"/>
    <w:rsid w:val="00AA5158"/>
    <w:rsid w:val="00AA7596"/>
    <w:rsid w:val="00AB5E52"/>
    <w:rsid w:val="00AC3B02"/>
    <w:rsid w:val="00AC3B7B"/>
    <w:rsid w:val="00AC5209"/>
    <w:rsid w:val="00AD00A6"/>
    <w:rsid w:val="00AD4766"/>
    <w:rsid w:val="00AE211A"/>
    <w:rsid w:val="00AE729E"/>
    <w:rsid w:val="00AE7752"/>
    <w:rsid w:val="00AF65FD"/>
    <w:rsid w:val="00AF7FDA"/>
    <w:rsid w:val="00B02C76"/>
    <w:rsid w:val="00B244A6"/>
    <w:rsid w:val="00B37100"/>
    <w:rsid w:val="00B4192C"/>
    <w:rsid w:val="00B5356E"/>
    <w:rsid w:val="00B809AD"/>
    <w:rsid w:val="00B80CBD"/>
    <w:rsid w:val="00B86096"/>
    <w:rsid w:val="00B95A71"/>
    <w:rsid w:val="00B964D9"/>
    <w:rsid w:val="00BA0A7C"/>
    <w:rsid w:val="00BA517C"/>
    <w:rsid w:val="00BB3D05"/>
    <w:rsid w:val="00BB52D6"/>
    <w:rsid w:val="00BB73BE"/>
    <w:rsid w:val="00BC2D89"/>
    <w:rsid w:val="00BD6531"/>
    <w:rsid w:val="00BE05B2"/>
    <w:rsid w:val="00BF1908"/>
    <w:rsid w:val="00BF7F3B"/>
    <w:rsid w:val="00C22D93"/>
    <w:rsid w:val="00C31120"/>
    <w:rsid w:val="00C34482"/>
    <w:rsid w:val="00C43648"/>
    <w:rsid w:val="00C50A9F"/>
    <w:rsid w:val="00C53EB8"/>
    <w:rsid w:val="00C642FA"/>
    <w:rsid w:val="00C65565"/>
    <w:rsid w:val="00CC7622"/>
    <w:rsid w:val="00CD608F"/>
    <w:rsid w:val="00CF3111"/>
    <w:rsid w:val="00D27982"/>
    <w:rsid w:val="00D33B86"/>
    <w:rsid w:val="00D53924"/>
    <w:rsid w:val="00D54B61"/>
    <w:rsid w:val="00D55D0C"/>
    <w:rsid w:val="00D627CF"/>
    <w:rsid w:val="00D74378"/>
    <w:rsid w:val="00D96D8C"/>
    <w:rsid w:val="00DA6649"/>
    <w:rsid w:val="00DB7AA5"/>
    <w:rsid w:val="00DC1259"/>
    <w:rsid w:val="00DC1BD2"/>
    <w:rsid w:val="00DC2571"/>
    <w:rsid w:val="00DC487C"/>
    <w:rsid w:val="00DE6BF6"/>
    <w:rsid w:val="00E0578E"/>
    <w:rsid w:val="00E1068A"/>
    <w:rsid w:val="00E25884"/>
    <w:rsid w:val="00E25B55"/>
    <w:rsid w:val="00E31C2B"/>
    <w:rsid w:val="00E37181"/>
    <w:rsid w:val="00E5426A"/>
    <w:rsid w:val="00E54642"/>
    <w:rsid w:val="00E80CBE"/>
    <w:rsid w:val="00E87DA0"/>
    <w:rsid w:val="00E962E3"/>
    <w:rsid w:val="00EB23B9"/>
    <w:rsid w:val="00EB6C79"/>
    <w:rsid w:val="00EC37E9"/>
    <w:rsid w:val="00EF5632"/>
    <w:rsid w:val="00F06995"/>
    <w:rsid w:val="00F13623"/>
    <w:rsid w:val="00F44D1D"/>
    <w:rsid w:val="00F84B6D"/>
    <w:rsid w:val="00FA4EAF"/>
    <w:rsid w:val="00FA5FDA"/>
    <w:rsid w:val="00FB6AB3"/>
    <w:rsid w:val="00FD1419"/>
    <w:rsid w:val="00FD754C"/>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2630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6772A"/>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86508">
      <w:bodyDiv w:val="1"/>
      <w:marLeft w:val="0"/>
      <w:marRight w:val="0"/>
      <w:marTop w:val="0"/>
      <w:marBottom w:val="0"/>
      <w:divBdr>
        <w:top w:val="none" w:sz="0" w:space="0" w:color="auto"/>
        <w:left w:val="none" w:sz="0" w:space="0" w:color="auto"/>
        <w:bottom w:val="none" w:sz="0" w:space="0" w:color="auto"/>
        <w:right w:val="none" w:sz="0" w:space="0" w:color="auto"/>
      </w:divBdr>
    </w:div>
    <w:div w:id="411632813">
      <w:bodyDiv w:val="1"/>
      <w:marLeft w:val="0"/>
      <w:marRight w:val="0"/>
      <w:marTop w:val="0"/>
      <w:marBottom w:val="0"/>
      <w:divBdr>
        <w:top w:val="none" w:sz="0" w:space="0" w:color="auto"/>
        <w:left w:val="none" w:sz="0" w:space="0" w:color="auto"/>
        <w:bottom w:val="none" w:sz="0" w:space="0" w:color="auto"/>
        <w:right w:val="none" w:sz="0" w:space="0" w:color="auto"/>
      </w:divBdr>
    </w:div>
    <w:div w:id="997347098">
      <w:bodyDiv w:val="1"/>
      <w:marLeft w:val="0"/>
      <w:marRight w:val="0"/>
      <w:marTop w:val="0"/>
      <w:marBottom w:val="0"/>
      <w:divBdr>
        <w:top w:val="none" w:sz="0" w:space="0" w:color="auto"/>
        <w:left w:val="none" w:sz="0" w:space="0" w:color="auto"/>
        <w:bottom w:val="none" w:sz="0" w:space="0" w:color="auto"/>
        <w:right w:val="none" w:sz="0" w:space="0" w:color="auto"/>
      </w:divBdr>
    </w:div>
    <w:div w:id="1018699932">
      <w:bodyDiv w:val="1"/>
      <w:marLeft w:val="0"/>
      <w:marRight w:val="0"/>
      <w:marTop w:val="0"/>
      <w:marBottom w:val="0"/>
      <w:divBdr>
        <w:top w:val="none" w:sz="0" w:space="0" w:color="auto"/>
        <w:left w:val="none" w:sz="0" w:space="0" w:color="auto"/>
        <w:bottom w:val="none" w:sz="0" w:space="0" w:color="auto"/>
        <w:right w:val="none" w:sz="0" w:space="0" w:color="auto"/>
      </w:divBdr>
    </w:div>
    <w:div w:id="1099062181">
      <w:bodyDiv w:val="1"/>
      <w:marLeft w:val="0"/>
      <w:marRight w:val="0"/>
      <w:marTop w:val="0"/>
      <w:marBottom w:val="0"/>
      <w:divBdr>
        <w:top w:val="none" w:sz="0" w:space="0" w:color="auto"/>
        <w:left w:val="none" w:sz="0" w:space="0" w:color="auto"/>
        <w:bottom w:val="none" w:sz="0" w:space="0" w:color="auto"/>
        <w:right w:val="none" w:sz="0" w:space="0" w:color="auto"/>
      </w:divBdr>
    </w:div>
    <w:div w:id="1130243305">
      <w:bodyDiv w:val="1"/>
      <w:marLeft w:val="0"/>
      <w:marRight w:val="0"/>
      <w:marTop w:val="0"/>
      <w:marBottom w:val="0"/>
      <w:divBdr>
        <w:top w:val="none" w:sz="0" w:space="0" w:color="auto"/>
        <w:left w:val="none" w:sz="0" w:space="0" w:color="auto"/>
        <w:bottom w:val="none" w:sz="0" w:space="0" w:color="auto"/>
        <w:right w:val="none" w:sz="0" w:space="0" w:color="auto"/>
      </w:divBdr>
    </w:div>
    <w:div w:id="12357743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9952097">
      <w:bodyDiv w:val="1"/>
      <w:marLeft w:val="0"/>
      <w:marRight w:val="0"/>
      <w:marTop w:val="0"/>
      <w:marBottom w:val="0"/>
      <w:divBdr>
        <w:top w:val="none" w:sz="0" w:space="0" w:color="auto"/>
        <w:left w:val="none" w:sz="0" w:space="0" w:color="auto"/>
        <w:bottom w:val="none" w:sz="0" w:space="0" w:color="auto"/>
        <w:right w:val="none" w:sz="0" w:space="0" w:color="auto"/>
      </w:divBdr>
    </w:div>
    <w:div w:id="161667185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7392395">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6122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37871" w:rsidP="00837871">
          <w:pPr>
            <w:pStyle w:val="E460D38E05664FF79D4EFF282EF8EC9938"/>
          </w:pPr>
          <w:r>
            <w:rPr>
              <w:rFonts w:hint="cs"/>
              <w:rtl/>
            </w:rPr>
            <w:t xml:space="preserve">     </w:t>
          </w:r>
        </w:p>
      </w:docPartBody>
    </w:docPart>
    <w:docPart>
      <w:docPartPr>
        <w:name w:val="6E9B64DE82404F9B827427D9CBC581D6"/>
        <w:category>
          <w:name w:val="כללי"/>
          <w:gallery w:val="placeholder"/>
        </w:category>
        <w:types>
          <w:type w:val="bbPlcHdr"/>
        </w:types>
        <w:behaviors>
          <w:behavior w:val="content"/>
        </w:behaviors>
        <w:guid w:val="{78BA44C6-B314-46D7-8ED1-BF436121D046}"/>
      </w:docPartPr>
      <w:docPartBody>
        <w:p w:rsidR="001437D3" w:rsidRDefault="00837871" w:rsidP="00837871">
          <w:pPr>
            <w:pStyle w:val="6E9B64DE82404F9B827427D9CBC581D62"/>
          </w:pPr>
          <w:r>
            <w:rPr>
              <w:rFonts w:ascii="Arial" w:hAnsi="Arial"/>
              <w:b/>
              <w:bCs/>
              <w:noProof w:val="0"/>
              <w:sz w:val="26"/>
              <w:szCs w:val="26"/>
              <w:rtl/>
            </w:rPr>
            <w:t>שם צד א' ללא שם של חסוי</w:t>
          </w:r>
        </w:p>
      </w:docPartBody>
    </w:docPart>
    <w:docPart>
      <w:docPartPr>
        <w:name w:val="4975FDB7C9824906A8EDDDC584D8F333"/>
        <w:category>
          <w:name w:val="כללי"/>
          <w:gallery w:val="placeholder"/>
        </w:category>
        <w:types>
          <w:type w:val="bbPlcHdr"/>
        </w:types>
        <w:behaviors>
          <w:behavior w:val="content"/>
        </w:behaviors>
        <w:guid w:val="{28E5AB39-0725-456D-B84C-21AB7B1A00B9}"/>
      </w:docPartPr>
      <w:docPartBody>
        <w:p w:rsidR="001437D3" w:rsidRDefault="00837871" w:rsidP="00837871">
          <w:pPr>
            <w:pStyle w:val="4975FDB7C9824906A8EDDDC584D8F3332"/>
          </w:pPr>
          <w:r>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0976"/>
    <w:rsid w:val="000A4ACE"/>
    <w:rsid w:val="001437D3"/>
    <w:rsid w:val="001E622F"/>
    <w:rsid w:val="00243834"/>
    <w:rsid w:val="002D02C4"/>
    <w:rsid w:val="002E734C"/>
    <w:rsid w:val="00334638"/>
    <w:rsid w:val="00345C9D"/>
    <w:rsid w:val="003D74C1"/>
    <w:rsid w:val="003E1A82"/>
    <w:rsid w:val="0048651F"/>
    <w:rsid w:val="00556D67"/>
    <w:rsid w:val="005F1C8D"/>
    <w:rsid w:val="00793995"/>
    <w:rsid w:val="007C6F98"/>
    <w:rsid w:val="007E254A"/>
    <w:rsid w:val="00837871"/>
    <w:rsid w:val="008B4366"/>
    <w:rsid w:val="009133C7"/>
    <w:rsid w:val="009178E4"/>
    <w:rsid w:val="009234CA"/>
    <w:rsid w:val="00961B27"/>
    <w:rsid w:val="009D04C0"/>
    <w:rsid w:val="009E240F"/>
    <w:rsid w:val="00AA7CE3"/>
    <w:rsid w:val="00AE1281"/>
    <w:rsid w:val="00B91FA3"/>
    <w:rsid w:val="00C4535D"/>
    <w:rsid w:val="00C96C06"/>
    <w:rsid w:val="00E31BF6"/>
    <w:rsid w:val="00E81DB1"/>
    <w:rsid w:val="00EB2309"/>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787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7">
    <w:name w:val="116EBBD5A99E4E519EE4A5661D82C50E7"/>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8">
    <w:name w:val="116EBBD5A99E4E519EE4A5661D82C50E8"/>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9">
    <w:name w:val="116EBBD5A99E4E519EE4A5661D82C50E9"/>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0">
    <w:name w:val="116EBBD5A99E4E519EE4A5661D82C50E10"/>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1">
    <w:name w:val="116EBBD5A99E4E519EE4A5661D82C50E11"/>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2">
    <w:name w:val="116EBBD5A99E4E519EE4A5661D82C50E12"/>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3">
    <w:name w:val="116EBBD5A99E4E519EE4A5661D82C50E13"/>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4">
    <w:name w:val="116EBBD5A99E4E519EE4A5661D82C50E14"/>
    <w:rsid w:val="00243834"/>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243834"/>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243834"/>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243834"/>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243834"/>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43834"/>
    <w:pPr>
      <w:bidi/>
      <w:spacing w:after="0" w:line="240" w:lineRule="auto"/>
    </w:pPr>
    <w:rPr>
      <w:rFonts w:ascii="Times New Roman" w:eastAsia="Times New Roman" w:hAnsi="Times New Roman" w:cs="David"/>
      <w:noProof/>
      <w:sz w:val="24"/>
      <w:szCs w:val="24"/>
    </w:rPr>
  </w:style>
  <w:style w:type="paragraph" w:customStyle="1" w:styleId="116EBBD5A99E4E519EE4A5661D82C50E15">
    <w:name w:val="116EBBD5A99E4E519EE4A5661D82C50E15"/>
    <w:rsid w:val="003D74C1"/>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3D74C1"/>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3D74C1"/>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3D74C1"/>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3D74C1"/>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3D74C1"/>
    <w:pPr>
      <w:bidi/>
      <w:spacing w:after="0" w:line="240" w:lineRule="auto"/>
    </w:pPr>
    <w:rPr>
      <w:rFonts w:ascii="Times New Roman" w:eastAsia="Times New Roman" w:hAnsi="Times New Roman" w:cs="David"/>
      <w:noProof/>
      <w:sz w:val="24"/>
      <w:szCs w:val="24"/>
    </w:rPr>
  </w:style>
  <w:style w:type="paragraph" w:customStyle="1" w:styleId="116EBBD5A99E4E519EE4A5661D82C50E16">
    <w:name w:val="116EBBD5A99E4E519EE4A5661D82C50E16"/>
    <w:rsid w:val="003D74C1"/>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3D74C1"/>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3D74C1"/>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3D74C1"/>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3D74C1"/>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3D74C1"/>
    <w:pPr>
      <w:bidi/>
      <w:spacing w:after="0" w:line="240" w:lineRule="auto"/>
    </w:pPr>
    <w:rPr>
      <w:rFonts w:ascii="Times New Roman" w:eastAsia="Times New Roman" w:hAnsi="Times New Roman" w:cs="David"/>
      <w:noProof/>
      <w:sz w:val="24"/>
      <w:szCs w:val="24"/>
    </w:rPr>
  </w:style>
  <w:style w:type="paragraph" w:customStyle="1" w:styleId="116EBBD5A99E4E519EE4A5661D82C50E17">
    <w:name w:val="116EBBD5A99E4E519EE4A5661D82C50E17"/>
    <w:rsid w:val="00EB2309"/>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EB2309"/>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EB2309"/>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EB2309"/>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EB2309"/>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EB2309"/>
    <w:pPr>
      <w:bidi/>
      <w:spacing w:after="0" w:line="240" w:lineRule="auto"/>
    </w:pPr>
    <w:rPr>
      <w:rFonts w:ascii="Times New Roman" w:eastAsia="Times New Roman" w:hAnsi="Times New Roman" w:cs="David"/>
      <w:noProof/>
      <w:sz w:val="24"/>
      <w:szCs w:val="24"/>
    </w:rPr>
  </w:style>
  <w:style w:type="paragraph" w:customStyle="1" w:styleId="116EBBD5A99E4E519EE4A5661D82C50E18">
    <w:name w:val="116EBBD5A99E4E519EE4A5661D82C50E18"/>
    <w:rsid w:val="00AE1281"/>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AE1281"/>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AE1281"/>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AE1281"/>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AE128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AE1281"/>
    <w:pPr>
      <w:bidi/>
      <w:spacing w:after="0" w:line="240" w:lineRule="auto"/>
    </w:pPr>
    <w:rPr>
      <w:rFonts w:ascii="Times New Roman" w:eastAsia="Times New Roman" w:hAnsi="Times New Roman" w:cs="David"/>
      <w:noProof/>
      <w:sz w:val="24"/>
      <w:szCs w:val="24"/>
    </w:rPr>
  </w:style>
  <w:style w:type="paragraph" w:customStyle="1" w:styleId="116EBBD5A99E4E519EE4A5661D82C50E19">
    <w:name w:val="116EBBD5A99E4E519EE4A5661D82C50E19"/>
    <w:rsid w:val="009D04C0"/>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9D04C0"/>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9D04C0"/>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9D04C0"/>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9D04C0"/>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9D04C0"/>
    <w:pPr>
      <w:bidi/>
      <w:spacing w:after="0" w:line="240" w:lineRule="auto"/>
    </w:pPr>
    <w:rPr>
      <w:rFonts w:ascii="Times New Roman" w:eastAsia="Times New Roman" w:hAnsi="Times New Roman" w:cs="David"/>
      <w:noProof/>
      <w:sz w:val="24"/>
      <w:szCs w:val="24"/>
    </w:rPr>
  </w:style>
  <w:style w:type="paragraph" w:customStyle="1" w:styleId="116EBBD5A99E4E519EE4A5661D82C50E20">
    <w:name w:val="116EBBD5A99E4E519EE4A5661D82C50E20"/>
    <w:rsid w:val="001E622F"/>
    <w:pPr>
      <w:bidi/>
      <w:spacing w:after="0" w:line="240" w:lineRule="auto"/>
    </w:pPr>
    <w:rPr>
      <w:rFonts w:ascii="Times New Roman" w:eastAsia="Times New Roman" w:hAnsi="Times New Roman" w:cs="David"/>
      <w:noProof/>
      <w:sz w:val="24"/>
      <w:szCs w:val="24"/>
    </w:rPr>
  </w:style>
  <w:style w:type="paragraph" w:customStyle="1" w:styleId="E6E6A917CC5E4519A8F2E864C48E22F220">
    <w:name w:val="E6E6A917CC5E4519A8F2E864C48E22F220"/>
    <w:rsid w:val="001E622F"/>
    <w:pPr>
      <w:bidi/>
      <w:spacing w:after="0" w:line="240" w:lineRule="auto"/>
    </w:pPr>
    <w:rPr>
      <w:rFonts w:ascii="Times New Roman" w:eastAsia="Times New Roman" w:hAnsi="Times New Roman" w:cs="David"/>
      <w:noProof/>
      <w:sz w:val="24"/>
      <w:szCs w:val="24"/>
    </w:rPr>
  </w:style>
  <w:style w:type="paragraph" w:customStyle="1" w:styleId="9DC4FF55E52B4E209349FC40470DD41820">
    <w:name w:val="9DC4FF55E52B4E209349FC40470DD41820"/>
    <w:rsid w:val="001E622F"/>
    <w:pPr>
      <w:bidi/>
      <w:spacing w:after="0" w:line="240" w:lineRule="auto"/>
    </w:pPr>
    <w:rPr>
      <w:rFonts w:ascii="Times New Roman" w:eastAsia="Times New Roman" w:hAnsi="Times New Roman" w:cs="David"/>
      <w:noProof/>
      <w:sz w:val="24"/>
      <w:szCs w:val="24"/>
    </w:rPr>
  </w:style>
  <w:style w:type="paragraph" w:customStyle="1" w:styleId="112E7BE5CCF64A68A3D497F283A4D69520">
    <w:name w:val="112E7BE5CCF64A68A3D497F283A4D69520"/>
    <w:rsid w:val="001E622F"/>
    <w:pPr>
      <w:bidi/>
      <w:spacing w:after="0" w:line="240" w:lineRule="auto"/>
    </w:pPr>
    <w:rPr>
      <w:rFonts w:ascii="Times New Roman" w:eastAsia="Times New Roman" w:hAnsi="Times New Roman" w:cs="David"/>
      <w:noProof/>
      <w:sz w:val="24"/>
      <w:szCs w:val="24"/>
    </w:rPr>
  </w:style>
  <w:style w:type="paragraph" w:customStyle="1" w:styleId="ECC435E5782A4F3FB39457279E24BE8818">
    <w:name w:val="ECC435E5782A4F3FB39457279E24BE8818"/>
    <w:rsid w:val="001E622F"/>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1E622F"/>
    <w:pPr>
      <w:bidi/>
      <w:spacing w:after="0" w:line="240" w:lineRule="auto"/>
    </w:pPr>
    <w:rPr>
      <w:rFonts w:ascii="Times New Roman" w:eastAsia="Times New Roman" w:hAnsi="Times New Roman" w:cs="David"/>
      <w:noProof/>
      <w:sz w:val="24"/>
      <w:szCs w:val="24"/>
    </w:rPr>
  </w:style>
  <w:style w:type="paragraph" w:customStyle="1" w:styleId="116EBBD5A99E4E519EE4A5661D82C50E21">
    <w:name w:val="116EBBD5A99E4E519EE4A5661D82C50E21"/>
    <w:rsid w:val="009234CA"/>
    <w:pPr>
      <w:bidi/>
      <w:spacing w:after="0" w:line="240" w:lineRule="auto"/>
    </w:pPr>
    <w:rPr>
      <w:rFonts w:ascii="Times New Roman" w:eastAsia="Times New Roman" w:hAnsi="Times New Roman" w:cs="David"/>
      <w:noProof/>
      <w:sz w:val="24"/>
      <w:szCs w:val="24"/>
    </w:rPr>
  </w:style>
  <w:style w:type="paragraph" w:customStyle="1" w:styleId="E6E6A917CC5E4519A8F2E864C48E22F221">
    <w:name w:val="E6E6A917CC5E4519A8F2E864C48E22F221"/>
    <w:rsid w:val="009234CA"/>
    <w:pPr>
      <w:bidi/>
      <w:spacing w:after="0" w:line="240" w:lineRule="auto"/>
    </w:pPr>
    <w:rPr>
      <w:rFonts w:ascii="Times New Roman" w:eastAsia="Times New Roman" w:hAnsi="Times New Roman" w:cs="David"/>
      <w:noProof/>
      <w:sz w:val="24"/>
      <w:szCs w:val="24"/>
    </w:rPr>
  </w:style>
  <w:style w:type="paragraph" w:customStyle="1" w:styleId="9DC4FF55E52B4E209349FC40470DD41821">
    <w:name w:val="9DC4FF55E52B4E209349FC40470DD41821"/>
    <w:rsid w:val="009234CA"/>
    <w:pPr>
      <w:bidi/>
      <w:spacing w:after="0" w:line="240" w:lineRule="auto"/>
    </w:pPr>
    <w:rPr>
      <w:rFonts w:ascii="Times New Roman" w:eastAsia="Times New Roman" w:hAnsi="Times New Roman" w:cs="David"/>
      <w:noProof/>
      <w:sz w:val="24"/>
      <w:szCs w:val="24"/>
    </w:rPr>
  </w:style>
  <w:style w:type="paragraph" w:customStyle="1" w:styleId="112E7BE5CCF64A68A3D497F283A4D69521">
    <w:name w:val="112E7BE5CCF64A68A3D497F283A4D69521"/>
    <w:rsid w:val="009234CA"/>
    <w:pPr>
      <w:bidi/>
      <w:spacing w:after="0" w:line="240" w:lineRule="auto"/>
    </w:pPr>
    <w:rPr>
      <w:rFonts w:ascii="Times New Roman" w:eastAsia="Times New Roman" w:hAnsi="Times New Roman" w:cs="David"/>
      <w:noProof/>
      <w:sz w:val="24"/>
      <w:szCs w:val="24"/>
    </w:rPr>
  </w:style>
  <w:style w:type="paragraph" w:customStyle="1" w:styleId="ECC435E5782A4F3FB39457279E24BE8819">
    <w:name w:val="ECC435E5782A4F3FB39457279E24BE8819"/>
    <w:rsid w:val="009234CA"/>
    <w:pPr>
      <w:bidi/>
      <w:spacing w:after="0" w:line="240" w:lineRule="auto"/>
    </w:pPr>
    <w:rPr>
      <w:rFonts w:ascii="Times New Roman" w:eastAsia="Times New Roman" w:hAnsi="Times New Roman" w:cs="David"/>
      <w:noProof/>
      <w:sz w:val="24"/>
      <w:szCs w:val="24"/>
    </w:rPr>
  </w:style>
  <w:style w:type="paragraph" w:customStyle="1" w:styleId="E460D38E05664FF79D4EFF282EF8EC9933">
    <w:name w:val="E460D38E05664FF79D4EFF282EF8EC9933"/>
    <w:rsid w:val="009234CA"/>
    <w:pPr>
      <w:bidi/>
      <w:spacing w:after="0" w:line="240" w:lineRule="auto"/>
    </w:pPr>
    <w:rPr>
      <w:rFonts w:ascii="Times New Roman" w:eastAsia="Times New Roman" w:hAnsi="Times New Roman" w:cs="David"/>
      <w:noProof/>
      <w:sz w:val="24"/>
      <w:szCs w:val="24"/>
    </w:rPr>
  </w:style>
  <w:style w:type="paragraph" w:customStyle="1" w:styleId="AD812B442A6148AD86AF75D37292B388">
    <w:name w:val="AD812B442A6148AD86AF75D37292B388"/>
    <w:rsid w:val="009234CA"/>
    <w:pPr>
      <w:bidi/>
      <w:spacing w:after="160" w:line="259" w:lineRule="auto"/>
    </w:pPr>
  </w:style>
  <w:style w:type="paragraph" w:customStyle="1" w:styleId="E516A655D6BA4402B6419633AB3A57D0">
    <w:name w:val="E516A655D6BA4402B6419633AB3A57D0"/>
    <w:rsid w:val="009234CA"/>
    <w:pPr>
      <w:bidi/>
      <w:spacing w:after="160" w:line="259" w:lineRule="auto"/>
    </w:pPr>
  </w:style>
  <w:style w:type="paragraph" w:customStyle="1" w:styleId="CFC05397738F4E5A80E642501E3521EE">
    <w:name w:val="CFC05397738F4E5A80E642501E3521EE"/>
    <w:rsid w:val="009234CA"/>
    <w:pPr>
      <w:bidi/>
      <w:spacing w:after="160" w:line="259" w:lineRule="auto"/>
    </w:pPr>
  </w:style>
  <w:style w:type="paragraph" w:customStyle="1" w:styleId="90B0F759156647ACAD295D20FC97F03F">
    <w:name w:val="90B0F759156647ACAD295D20FC97F03F"/>
    <w:rsid w:val="009234CA"/>
    <w:pPr>
      <w:bidi/>
      <w:spacing w:after="160" w:line="259" w:lineRule="auto"/>
    </w:pPr>
  </w:style>
  <w:style w:type="paragraph" w:customStyle="1" w:styleId="A32784E0CF004EEDBF07D7430B41A77E">
    <w:name w:val="A32784E0CF004EEDBF07D7430B41A77E"/>
    <w:rsid w:val="009234CA"/>
    <w:pPr>
      <w:bidi/>
      <w:spacing w:after="160" w:line="259" w:lineRule="auto"/>
    </w:pPr>
  </w:style>
  <w:style w:type="paragraph" w:customStyle="1" w:styleId="2F0C8789261B416098B21975B972BEDE">
    <w:name w:val="2F0C8789261B416098B21975B972BEDE"/>
    <w:rsid w:val="009234CA"/>
    <w:pPr>
      <w:bidi/>
      <w:spacing w:after="160" w:line="259" w:lineRule="auto"/>
    </w:pPr>
  </w:style>
  <w:style w:type="paragraph" w:customStyle="1" w:styleId="E516A655D6BA4402B6419633AB3A57D01">
    <w:name w:val="E516A655D6BA4402B6419633AB3A57D01"/>
    <w:rsid w:val="00C4535D"/>
    <w:pPr>
      <w:bidi/>
      <w:spacing w:after="0" w:line="240" w:lineRule="auto"/>
    </w:pPr>
    <w:rPr>
      <w:rFonts w:ascii="Times New Roman" w:eastAsia="Times New Roman" w:hAnsi="Times New Roman" w:cs="David"/>
      <w:noProof/>
      <w:sz w:val="24"/>
      <w:szCs w:val="24"/>
    </w:rPr>
  </w:style>
  <w:style w:type="paragraph" w:customStyle="1" w:styleId="CFC05397738F4E5A80E642501E3521EE1">
    <w:name w:val="CFC05397738F4E5A80E642501E3521EE1"/>
    <w:rsid w:val="00C4535D"/>
    <w:pPr>
      <w:bidi/>
      <w:spacing w:after="0" w:line="240" w:lineRule="auto"/>
    </w:pPr>
    <w:rPr>
      <w:rFonts w:ascii="Times New Roman" w:eastAsia="Times New Roman" w:hAnsi="Times New Roman" w:cs="David"/>
      <w:noProof/>
      <w:sz w:val="24"/>
      <w:szCs w:val="24"/>
    </w:rPr>
  </w:style>
  <w:style w:type="paragraph" w:customStyle="1" w:styleId="90B0F759156647ACAD295D20FC97F03F1">
    <w:name w:val="90B0F759156647ACAD295D20FC97F03F1"/>
    <w:rsid w:val="00C4535D"/>
    <w:pPr>
      <w:bidi/>
      <w:spacing w:after="0" w:line="240" w:lineRule="auto"/>
    </w:pPr>
    <w:rPr>
      <w:rFonts w:ascii="Times New Roman" w:eastAsia="Times New Roman" w:hAnsi="Times New Roman" w:cs="David"/>
      <w:noProof/>
      <w:sz w:val="24"/>
      <w:szCs w:val="24"/>
    </w:rPr>
  </w:style>
  <w:style w:type="paragraph" w:customStyle="1" w:styleId="A32784E0CF004EEDBF07D7430B41A77E1">
    <w:name w:val="A32784E0CF004EEDBF07D7430B41A77E1"/>
    <w:rsid w:val="00C4535D"/>
    <w:pPr>
      <w:bidi/>
      <w:spacing w:after="0" w:line="240" w:lineRule="auto"/>
    </w:pPr>
    <w:rPr>
      <w:rFonts w:ascii="Times New Roman" w:eastAsia="Times New Roman" w:hAnsi="Times New Roman" w:cs="David"/>
      <w:noProof/>
      <w:sz w:val="24"/>
      <w:szCs w:val="24"/>
    </w:rPr>
  </w:style>
  <w:style w:type="paragraph" w:customStyle="1" w:styleId="2F0C8789261B416098B21975B972BEDE1">
    <w:name w:val="2F0C8789261B416098B21975B972BEDE1"/>
    <w:rsid w:val="00C4535D"/>
    <w:pPr>
      <w:bidi/>
      <w:spacing w:after="0" w:line="240" w:lineRule="auto"/>
    </w:pPr>
    <w:rPr>
      <w:rFonts w:ascii="Times New Roman" w:eastAsia="Times New Roman" w:hAnsi="Times New Roman" w:cs="David"/>
      <w:noProof/>
      <w:sz w:val="24"/>
      <w:szCs w:val="24"/>
    </w:rPr>
  </w:style>
  <w:style w:type="paragraph" w:customStyle="1" w:styleId="E460D38E05664FF79D4EFF282EF8EC9934">
    <w:name w:val="E460D38E05664FF79D4EFF282EF8EC9934"/>
    <w:rsid w:val="00C4535D"/>
    <w:pPr>
      <w:bidi/>
      <w:spacing w:after="0" w:line="240" w:lineRule="auto"/>
    </w:pPr>
    <w:rPr>
      <w:rFonts w:ascii="Times New Roman" w:eastAsia="Times New Roman" w:hAnsi="Times New Roman" w:cs="David"/>
      <w:noProof/>
      <w:sz w:val="24"/>
      <w:szCs w:val="24"/>
    </w:rPr>
  </w:style>
  <w:style w:type="paragraph" w:customStyle="1" w:styleId="E516A655D6BA4402B6419633AB3A57D02">
    <w:name w:val="E516A655D6BA4402B6419633AB3A57D02"/>
    <w:rsid w:val="00010976"/>
    <w:pPr>
      <w:bidi/>
      <w:spacing w:after="0" w:line="240" w:lineRule="auto"/>
    </w:pPr>
    <w:rPr>
      <w:rFonts w:ascii="Times New Roman" w:eastAsia="Times New Roman" w:hAnsi="Times New Roman" w:cs="David"/>
      <w:noProof/>
      <w:sz w:val="24"/>
      <w:szCs w:val="24"/>
    </w:rPr>
  </w:style>
  <w:style w:type="paragraph" w:customStyle="1" w:styleId="CFC05397738F4E5A80E642501E3521EE2">
    <w:name w:val="CFC05397738F4E5A80E642501E3521EE2"/>
    <w:rsid w:val="00010976"/>
    <w:pPr>
      <w:bidi/>
      <w:spacing w:after="0" w:line="240" w:lineRule="auto"/>
    </w:pPr>
    <w:rPr>
      <w:rFonts w:ascii="Times New Roman" w:eastAsia="Times New Roman" w:hAnsi="Times New Roman" w:cs="David"/>
      <w:noProof/>
      <w:sz w:val="24"/>
      <w:szCs w:val="24"/>
    </w:rPr>
  </w:style>
  <w:style w:type="paragraph" w:customStyle="1" w:styleId="90B0F759156647ACAD295D20FC97F03F2">
    <w:name w:val="90B0F759156647ACAD295D20FC97F03F2"/>
    <w:rsid w:val="00010976"/>
    <w:pPr>
      <w:bidi/>
      <w:spacing w:after="0" w:line="240" w:lineRule="auto"/>
    </w:pPr>
    <w:rPr>
      <w:rFonts w:ascii="Times New Roman" w:eastAsia="Times New Roman" w:hAnsi="Times New Roman" w:cs="David"/>
      <w:noProof/>
      <w:sz w:val="24"/>
      <w:szCs w:val="24"/>
    </w:rPr>
  </w:style>
  <w:style w:type="paragraph" w:customStyle="1" w:styleId="A32784E0CF004EEDBF07D7430B41A77E2">
    <w:name w:val="A32784E0CF004EEDBF07D7430B41A77E2"/>
    <w:rsid w:val="00010976"/>
    <w:pPr>
      <w:bidi/>
      <w:spacing w:after="0" w:line="240" w:lineRule="auto"/>
    </w:pPr>
    <w:rPr>
      <w:rFonts w:ascii="Times New Roman" w:eastAsia="Times New Roman" w:hAnsi="Times New Roman" w:cs="David"/>
      <w:noProof/>
      <w:sz w:val="24"/>
      <w:szCs w:val="24"/>
    </w:rPr>
  </w:style>
  <w:style w:type="paragraph" w:customStyle="1" w:styleId="2F0C8789261B416098B21975B972BEDE2">
    <w:name w:val="2F0C8789261B416098B21975B972BEDE2"/>
    <w:rsid w:val="00010976"/>
    <w:pPr>
      <w:bidi/>
      <w:spacing w:after="0" w:line="240" w:lineRule="auto"/>
    </w:pPr>
    <w:rPr>
      <w:rFonts w:ascii="Times New Roman" w:eastAsia="Times New Roman" w:hAnsi="Times New Roman" w:cs="David"/>
      <w:noProof/>
      <w:sz w:val="24"/>
      <w:szCs w:val="24"/>
    </w:rPr>
  </w:style>
  <w:style w:type="paragraph" w:customStyle="1" w:styleId="E460D38E05664FF79D4EFF282EF8EC9935">
    <w:name w:val="E460D38E05664FF79D4EFF282EF8EC9935"/>
    <w:rsid w:val="00010976"/>
    <w:pPr>
      <w:bidi/>
      <w:spacing w:after="0" w:line="240" w:lineRule="auto"/>
    </w:pPr>
    <w:rPr>
      <w:rFonts w:ascii="Times New Roman" w:eastAsia="Times New Roman" w:hAnsi="Times New Roman" w:cs="David"/>
      <w:noProof/>
      <w:sz w:val="24"/>
      <w:szCs w:val="24"/>
    </w:rPr>
  </w:style>
  <w:style w:type="paragraph" w:customStyle="1" w:styleId="E516A655D6BA4402B6419633AB3A57D03">
    <w:name w:val="E516A655D6BA4402B6419633AB3A57D03"/>
    <w:rsid w:val="00010976"/>
    <w:pPr>
      <w:bidi/>
      <w:spacing w:after="0" w:line="240" w:lineRule="auto"/>
    </w:pPr>
    <w:rPr>
      <w:rFonts w:ascii="Times New Roman" w:eastAsia="Times New Roman" w:hAnsi="Times New Roman" w:cs="David"/>
      <w:noProof/>
      <w:sz w:val="24"/>
      <w:szCs w:val="24"/>
    </w:rPr>
  </w:style>
  <w:style w:type="paragraph" w:customStyle="1" w:styleId="CFC05397738F4E5A80E642501E3521EE3">
    <w:name w:val="CFC05397738F4E5A80E642501E3521EE3"/>
    <w:rsid w:val="00010976"/>
    <w:pPr>
      <w:bidi/>
      <w:spacing w:after="0" w:line="240" w:lineRule="auto"/>
    </w:pPr>
    <w:rPr>
      <w:rFonts w:ascii="Times New Roman" w:eastAsia="Times New Roman" w:hAnsi="Times New Roman" w:cs="David"/>
      <w:noProof/>
      <w:sz w:val="24"/>
      <w:szCs w:val="24"/>
    </w:rPr>
  </w:style>
  <w:style w:type="paragraph" w:customStyle="1" w:styleId="90B0F759156647ACAD295D20FC97F03F3">
    <w:name w:val="90B0F759156647ACAD295D20FC97F03F3"/>
    <w:rsid w:val="00010976"/>
    <w:pPr>
      <w:bidi/>
      <w:spacing w:after="0" w:line="240" w:lineRule="auto"/>
    </w:pPr>
    <w:rPr>
      <w:rFonts w:ascii="Times New Roman" w:eastAsia="Times New Roman" w:hAnsi="Times New Roman" w:cs="David"/>
      <w:noProof/>
      <w:sz w:val="24"/>
      <w:szCs w:val="24"/>
    </w:rPr>
  </w:style>
  <w:style w:type="paragraph" w:customStyle="1" w:styleId="A32784E0CF004EEDBF07D7430B41A77E3">
    <w:name w:val="A32784E0CF004EEDBF07D7430B41A77E3"/>
    <w:rsid w:val="00010976"/>
    <w:pPr>
      <w:bidi/>
      <w:spacing w:after="0" w:line="240" w:lineRule="auto"/>
    </w:pPr>
    <w:rPr>
      <w:rFonts w:ascii="Times New Roman" w:eastAsia="Times New Roman" w:hAnsi="Times New Roman" w:cs="David"/>
      <w:noProof/>
      <w:sz w:val="24"/>
      <w:szCs w:val="24"/>
    </w:rPr>
  </w:style>
  <w:style w:type="paragraph" w:customStyle="1" w:styleId="2F0C8789261B416098B21975B972BEDE3">
    <w:name w:val="2F0C8789261B416098B21975B972BEDE3"/>
    <w:rsid w:val="00010976"/>
    <w:pPr>
      <w:bidi/>
      <w:spacing w:after="0" w:line="240" w:lineRule="auto"/>
    </w:pPr>
    <w:rPr>
      <w:rFonts w:ascii="Times New Roman" w:eastAsia="Times New Roman" w:hAnsi="Times New Roman" w:cs="David"/>
      <w:noProof/>
      <w:sz w:val="24"/>
      <w:szCs w:val="24"/>
    </w:rPr>
  </w:style>
  <w:style w:type="paragraph" w:customStyle="1" w:styleId="E460D38E05664FF79D4EFF282EF8EC9936">
    <w:name w:val="E460D38E05664FF79D4EFF282EF8EC9936"/>
    <w:rsid w:val="00010976"/>
    <w:pPr>
      <w:bidi/>
      <w:spacing w:after="0" w:line="240" w:lineRule="auto"/>
    </w:pPr>
    <w:rPr>
      <w:rFonts w:ascii="Times New Roman" w:eastAsia="Times New Roman" w:hAnsi="Times New Roman" w:cs="David"/>
      <w:noProof/>
      <w:sz w:val="24"/>
      <w:szCs w:val="24"/>
    </w:rPr>
  </w:style>
  <w:style w:type="paragraph" w:customStyle="1" w:styleId="6E9B64DE82404F9B827427D9CBC581D6">
    <w:name w:val="6E9B64DE82404F9B827427D9CBC581D6"/>
    <w:rsid w:val="005F1C8D"/>
    <w:pPr>
      <w:bidi/>
      <w:spacing w:after="160" w:line="259" w:lineRule="auto"/>
    </w:pPr>
  </w:style>
  <w:style w:type="paragraph" w:customStyle="1" w:styleId="CEBF8CAB19D1432190577F1B232F29DC">
    <w:name w:val="CEBF8CAB19D1432190577F1B232F29DC"/>
    <w:rsid w:val="005F1C8D"/>
    <w:pPr>
      <w:bidi/>
      <w:spacing w:after="160" w:line="259" w:lineRule="auto"/>
    </w:pPr>
  </w:style>
  <w:style w:type="paragraph" w:customStyle="1" w:styleId="486476043DCC42DE88A7E90AAA0A5F6E">
    <w:name w:val="486476043DCC42DE88A7E90AAA0A5F6E"/>
    <w:rsid w:val="005F1C8D"/>
    <w:pPr>
      <w:bidi/>
      <w:spacing w:after="160" w:line="259" w:lineRule="auto"/>
    </w:pPr>
  </w:style>
  <w:style w:type="paragraph" w:customStyle="1" w:styleId="6C5A84F1268D48BCB763E3FE0B847160">
    <w:name w:val="6C5A84F1268D48BCB763E3FE0B847160"/>
    <w:rsid w:val="005F1C8D"/>
    <w:pPr>
      <w:bidi/>
      <w:spacing w:after="160" w:line="259" w:lineRule="auto"/>
    </w:pPr>
  </w:style>
  <w:style w:type="paragraph" w:customStyle="1" w:styleId="CC98E272BE60499A9573555F2D3FBAF5">
    <w:name w:val="CC98E272BE60499A9573555F2D3FBAF5"/>
    <w:rsid w:val="005F1C8D"/>
    <w:pPr>
      <w:bidi/>
      <w:spacing w:after="160" w:line="259" w:lineRule="auto"/>
    </w:pPr>
  </w:style>
  <w:style w:type="paragraph" w:customStyle="1" w:styleId="F06F93A59E9F4240AEBCC820438BAFCF">
    <w:name w:val="F06F93A59E9F4240AEBCC820438BAFCF"/>
    <w:rsid w:val="005F1C8D"/>
    <w:pPr>
      <w:bidi/>
      <w:spacing w:after="160" w:line="259" w:lineRule="auto"/>
    </w:pPr>
  </w:style>
  <w:style w:type="paragraph" w:customStyle="1" w:styleId="A90AC82EC8B94BD7865F956EF503BBAD">
    <w:name w:val="A90AC82EC8B94BD7865F956EF503BBAD"/>
    <w:rsid w:val="005F1C8D"/>
    <w:pPr>
      <w:bidi/>
      <w:spacing w:after="160" w:line="259" w:lineRule="auto"/>
    </w:pPr>
  </w:style>
  <w:style w:type="paragraph" w:customStyle="1" w:styleId="CA411FF768504DE698B39B6C6B68DBCA">
    <w:name w:val="CA411FF768504DE698B39B6C6B68DBCA"/>
    <w:rsid w:val="005F1C8D"/>
    <w:pPr>
      <w:bidi/>
      <w:spacing w:after="160" w:line="259" w:lineRule="auto"/>
    </w:pPr>
  </w:style>
  <w:style w:type="paragraph" w:customStyle="1" w:styleId="14CE73BE419B448887D1F7C12CD5C3DE">
    <w:name w:val="14CE73BE419B448887D1F7C12CD5C3DE"/>
    <w:rsid w:val="005F1C8D"/>
    <w:pPr>
      <w:bidi/>
      <w:spacing w:after="160" w:line="259" w:lineRule="auto"/>
    </w:pPr>
  </w:style>
  <w:style w:type="paragraph" w:customStyle="1" w:styleId="27898690DA6B4C90AA8374F7637925A9">
    <w:name w:val="27898690DA6B4C90AA8374F7637925A9"/>
    <w:rsid w:val="005F1C8D"/>
    <w:pPr>
      <w:bidi/>
      <w:spacing w:after="160" w:line="259" w:lineRule="auto"/>
    </w:pPr>
  </w:style>
  <w:style w:type="paragraph" w:customStyle="1" w:styleId="C62771E0E4CF434682A071CB4FB6C3FA">
    <w:name w:val="C62771E0E4CF434682A071CB4FB6C3FA"/>
    <w:rsid w:val="005F1C8D"/>
    <w:pPr>
      <w:bidi/>
      <w:spacing w:after="160" w:line="259" w:lineRule="auto"/>
    </w:pPr>
  </w:style>
  <w:style w:type="paragraph" w:customStyle="1" w:styleId="4975FDB7C9824906A8EDDDC584D8F333">
    <w:name w:val="4975FDB7C9824906A8EDDDC584D8F333"/>
    <w:rsid w:val="005F1C8D"/>
    <w:pPr>
      <w:bidi/>
      <w:spacing w:after="160" w:line="259" w:lineRule="auto"/>
    </w:pPr>
  </w:style>
  <w:style w:type="paragraph" w:customStyle="1" w:styleId="DB11F48261404C87815507950762D31B">
    <w:name w:val="DB11F48261404C87815507950762D31B"/>
    <w:rsid w:val="005F1C8D"/>
    <w:pPr>
      <w:bidi/>
      <w:spacing w:after="160" w:line="259" w:lineRule="auto"/>
    </w:pPr>
  </w:style>
  <w:style w:type="paragraph" w:customStyle="1" w:styleId="0775C2ABC8734942821E9580B7CD52AB">
    <w:name w:val="0775C2ABC8734942821E9580B7CD52AB"/>
    <w:rsid w:val="005F1C8D"/>
    <w:pPr>
      <w:bidi/>
      <w:spacing w:after="160" w:line="259" w:lineRule="auto"/>
    </w:pPr>
  </w:style>
  <w:style w:type="paragraph" w:customStyle="1" w:styleId="AC934E0EF817441CB631F508445A1C72">
    <w:name w:val="AC934E0EF817441CB631F508445A1C72"/>
    <w:rsid w:val="005F1C8D"/>
    <w:pPr>
      <w:bidi/>
      <w:spacing w:after="160" w:line="259" w:lineRule="auto"/>
    </w:pPr>
  </w:style>
  <w:style w:type="paragraph" w:customStyle="1" w:styleId="57718C5BA61841D794B21F88803E1E63">
    <w:name w:val="57718C5BA61841D794B21F88803E1E63"/>
    <w:rsid w:val="005F1C8D"/>
    <w:pPr>
      <w:bidi/>
      <w:spacing w:after="160" w:line="259" w:lineRule="auto"/>
    </w:pPr>
  </w:style>
  <w:style w:type="paragraph" w:customStyle="1" w:styleId="3DCE8B5BEDA444F1ABDBF28E2B60C1F2">
    <w:name w:val="3DCE8B5BEDA444F1ABDBF28E2B60C1F2"/>
    <w:rsid w:val="005F1C8D"/>
    <w:pPr>
      <w:bidi/>
      <w:spacing w:after="160" w:line="259" w:lineRule="auto"/>
    </w:pPr>
  </w:style>
  <w:style w:type="paragraph" w:customStyle="1" w:styleId="3063793C11CD45E38AE9612680E7E24C">
    <w:name w:val="3063793C11CD45E38AE9612680E7E24C"/>
    <w:rsid w:val="005F1C8D"/>
    <w:pPr>
      <w:bidi/>
      <w:spacing w:after="160" w:line="259" w:lineRule="auto"/>
    </w:pPr>
  </w:style>
  <w:style w:type="paragraph" w:customStyle="1" w:styleId="0CE3232FC0A7453B91552AD24D6356EC">
    <w:name w:val="0CE3232FC0A7453B91552AD24D6356EC"/>
    <w:rsid w:val="005F1C8D"/>
    <w:pPr>
      <w:bidi/>
      <w:spacing w:after="160" w:line="259" w:lineRule="auto"/>
    </w:pPr>
  </w:style>
  <w:style w:type="paragraph" w:customStyle="1" w:styleId="0746682D744E43C9AA67B3EF2EC9F747">
    <w:name w:val="0746682D744E43C9AA67B3EF2EC9F747"/>
    <w:rsid w:val="005F1C8D"/>
    <w:pPr>
      <w:bidi/>
      <w:spacing w:after="160" w:line="259" w:lineRule="auto"/>
    </w:pPr>
  </w:style>
  <w:style w:type="paragraph" w:customStyle="1" w:styleId="266B6031A6DF49368D1A39C11D099690">
    <w:name w:val="266B6031A6DF49368D1A39C11D099690"/>
    <w:rsid w:val="005F1C8D"/>
    <w:pPr>
      <w:bidi/>
      <w:spacing w:after="160" w:line="259" w:lineRule="auto"/>
    </w:pPr>
  </w:style>
  <w:style w:type="paragraph" w:customStyle="1" w:styleId="9606C6A3114E4A80B8FCC2B7D49AD3DE">
    <w:name w:val="9606C6A3114E4A80B8FCC2B7D49AD3DE"/>
    <w:rsid w:val="005F1C8D"/>
    <w:pPr>
      <w:bidi/>
      <w:spacing w:after="160" w:line="259" w:lineRule="auto"/>
    </w:pPr>
  </w:style>
  <w:style w:type="paragraph" w:customStyle="1" w:styleId="EEC23A8385174C679D11DAA521780AFF">
    <w:name w:val="EEC23A8385174C679D11DAA521780AFF"/>
    <w:rsid w:val="005F1C8D"/>
    <w:pPr>
      <w:bidi/>
      <w:spacing w:after="160" w:line="259" w:lineRule="auto"/>
    </w:pPr>
  </w:style>
  <w:style w:type="paragraph" w:customStyle="1" w:styleId="2F7511B259E4414885D126CE0792B16E">
    <w:name w:val="2F7511B259E4414885D126CE0792B16E"/>
    <w:rsid w:val="005F1C8D"/>
    <w:pPr>
      <w:bidi/>
      <w:spacing w:after="160" w:line="259" w:lineRule="auto"/>
    </w:pPr>
  </w:style>
  <w:style w:type="paragraph" w:customStyle="1" w:styleId="E51E1DFD654740D484F70EDD1EA4FA2D">
    <w:name w:val="E51E1DFD654740D484F70EDD1EA4FA2D"/>
    <w:rsid w:val="005F1C8D"/>
    <w:pPr>
      <w:bidi/>
      <w:spacing w:after="160" w:line="259" w:lineRule="auto"/>
    </w:pPr>
  </w:style>
  <w:style w:type="paragraph" w:customStyle="1" w:styleId="8E48858722B44348B7754217E380155A">
    <w:name w:val="8E48858722B44348B7754217E380155A"/>
    <w:rsid w:val="005F1C8D"/>
    <w:pPr>
      <w:bidi/>
      <w:spacing w:after="160" w:line="259" w:lineRule="auto"/>
    </w:pPr>
  </w:style>
  <w:style w:type="paragraph" w:customStyle="1" w:styleId="BA71EA24FD0B4C98BBA8E6142560601B">
    <w:name w:val="BA71EA24FD0B4C98BBA8E6142560601B"/>
    <w:rsid w:val="005F1C8D"/>
    <w:pPr>
      <w:bidi/>
      <w:spacing w:after="160" w:line="259" w:lineRule="auto"/>
    </w:pPr>
  </w:style>
  <w:style w:type="paragraph" w:customStyle="1" w:styleId="7A7084BED64A463FA41F4F5E0FC692C8">
    <w:name w:val="7A7084BED64A463FA41F4F5E0FC692C8"/>
    <w:rsid w:val="005F1C8D"/>
    <w:pPr>
      <w:bidi/>
      <w:spacing w:after="160" w:line="259" w:lineRule="auto"/>
    </w:pPr>
  </w:style>
  <w:style w:type="paragraph" w:customStyle="1" w:styleId="468C623C90F2404FB0842275BB935BA3">
    <w:name w:val="468C623C90F2404FB0842275BB935BA3"/>
    <w:rsid w:val="005F1C8D"/>
    <w:pPr>
      <w:bidi/>
      <w:spacing w:after="160" w:line="259" w:lineRule="auto"/>
    </w:pPr>
  </w:style>
  <w:style w:type="paragraph" w:customStyle="1" w:styleId="D5F68AAFB16C4695ACB5E782F0E5EC2B">
    <w:name w:val="D5F68AAFB16C4695ACB5E782F0E5EC2B"/>
    <w:rsid w:val="005F1C8D"/>
    <w:pPr>
      <w:bidi/>
      <w:spacing w:after="160" w:line="259" w:lineRule="auto"/>
    </w:pPr>
  </w:style>
  <w:style w:type="paragraph" w:customStyle="1" w:styleId="C4BA336785714765B3F6D92DFA64251E">
    <w:name w:val="C4BA336785714765B3F6D92DFA64251E"/>
    <w:rsid w:val="005F1C8D"/>
    <w:pPr>
      <w:bidi/>
      <w:spacing w:after="160" w:line="259" w:lineRule="auto"/>
    </w:pPr>
  </w:style>
  <w:style w:type="paragraph" w:customStyle="1" w:styleId="0707E533FBFF4CEC8C847BAE588E8013">
    <w:name w:val="0707E533FBFF4CEC8C847BAE588E8013"/>
    <w:rsid w:val="005F1C8D"/>
    <w:pPr>
      <w:bidi/>
      <w:spacing w:after="160" w:line="259" w:lineRule="auto"/>
    </w:pPr>
  </w:style>
  <w:style w:type="paragraph" w:customStyle="1" w:styleId="E7107AEA636A46B09EF0E82E73BAC570">
    <w:name w:val="E7107AEA636A46B09EF0E82E73BAC570"/>
    <w:rsid w:val="005F1C8D"/>
    <w:pPr>
      <w:bidi/>
      <w:spacing w:after="160" w:line="259" w:lineRule="auto"/>
    </w:pPr>
  </w:style>
  <w:style w:type="paragraph" w:customStyle="1" w:styleId="0D104245A24547CFB3F2C5EF569F3110">
    <w:name w:val="0D104245A24547CFB3F2C5EF569F3110"/>
    <w:rsid w:val="005F1C8D"/>
    <w:pPr>
      <w:bidi/>
      <w:spacing w:after="160" w:line="259" w:lineRule="auto"/>
    </w:pPr>
  </w:style>
  <w:style w:type="paragraph" w:customStyle="1" w:styleId="34AFA2AA815C4606B29D8328193A9FAF">
    <w:name w:val="34AFA2AA815C4606B29D8328193A9FAF"/>
    <w:rsid w:val="005F1C8D"/>
    <w:pPr>
      <w:bidi/>
      <w:spacing w:after="160" w:line="259" w:lineRule="auto"/>
    </w:pPr>
  </w:style>
  <w:style w:type="paragraph" w:customStyle="1" w:styleId="1D7E9C58700943E698ACAD7A313FE530">
    <w:name w:val="1D7E9C58700943E698ACAD7A313FE530"/>
    <w:rsid w:val="005F1C8D"/>
    <w:pPr>
      <w:bidi/>
      <w:spacing w:after="160" w:line="259" w:lineRule="auto"/>
    </w:pPr>
  </w:style>
  <w:style w:type="paragraph" w:customStyle="1" w:styleId="7251215E5F6F4C56AB5BF84FF59EDEC4">
    <w:name w:val="7251215E5F6F4C56AB5BF84FF59EDEC4"/>
    <w:rsid w:val="005F1C8D"/>
    <w:pPr>
      <w:bidi/>
      <w:spacing w:after="160" w:line="259" w:lineRule="auto"/>
    </w:pPr>
  </w:style>
  <w:style w:type="paragraph" w:customStyle="1" w:styleId="E8A2AD312CFC4F0B90437C6C22661183">
    <w:name w:val="E8A2AD312CFC4F0B90437C6C22661183"/>
    <w:rsid w:val="005F1C8D"/>
    <w:pPr>
      <w:bidi/>
      <w:spacing w:after="160" w:line="259" w:lineRule="auto"/>
    </w:pPr>
  </w:style>
  <w:style w:type="paragraph" w:customStyle="1" w:styleId="047B9D7C22A446E3961C92C7453A032E">
    <w:name w:val="047B9D7C22A446E3961C92C7453A032E"/>
    <w:rsid w:val="005F1C8D"/>
    <w:pPr>
      <w:bidi/>
      <w:spacing w:after="160" w:line="259" w:lineRule="auto"/>
    </w:pPr>
  </w:style>
  <w:style w:type="paragraph" w:customStyle="1" w:styleId="E5AB823215EF42438B480D8ABFE9AEA1">
    <w:name w:val="E5AB823215EF42438B480D8ABFE9AEA1"/>
    <w:rsid w:val="005F1C8D"/>
    <w:pPr>
      <w:bidi/>
      <w:spacing w:after="160" w:line="259" w:lineRule="auto"/>
    </w:pPr>
  </w:style>
  <w:style w:type="paragraph" w:customStyle="1" w:styleId="E0402C61FEF8403A9E2A306D263F1547">
    <w:name w:val="E0402C61FEF8403A9E2A306D263F1547"/>
    <w:rsid w:val="005F1C8D"/>
    <w:pPr>
      <w:bidi/>
      <w:spacing w:after="160" w:line="259" w:lineRule="auto"/>
    </w:pPr>
  </w:style>
  <w:style w:type="paragraph" w:customStyle="1" w:styleId="965702558FC24801A9B310052FBDF624">
    <w:name w:val="965702558FC24801A9B310052FBDF624"/>
    <w:rsid w:val="005F1C8D"/>
    <w:pPr>
      <w:bidi/>
      <w:spacing w:after="160" w:line="259" w:lineRule="auto"/>
    </w:pPr>
  </w:style>
  <w:style w:type="paragraph" w:customStyle="1" w:styleId="A31CB7A2DB394CEAB6726F70B23689EA">
    <w:name w:val="A31CB7A2DB394CEAB6726F70B23689EA"/>
    <w:rsid w:val="005F1C8D"/>
    <w:pPr>
      <w:bidi/>
      <w:spacing w:after="160" w:line="259" w:lineRule="auto"/>
    </w:pPr>
  </w:style>
  <w:style w:type="paragraph" w:customStyle="1" w:styleId="C0956EC9ECC14FB88B44ABFE3FB9987D">
    <w:name w:val="C0956EC9ECC14FB88B44ABFE3FB9987D"/>
    <w:rsid w:val="005F1C8D"/>
    <w:pPr>
      <w:bidi/>
      <w:spacing w:after="160" w:line="259" w:lineRule="auto"/>
    </w:pPr>
  </w:style>
  <w:style w:type="paragraph" w:customStyle="1" w:styleId="5C75CD899DBA40E5ADA9E84C158720EE">
    <w:name w:val="5C75CD899DBA40E5ADA9E84C158720EE"/>
    <w:rsid w:val="005F1C8D"/>
    <w:pPr>
      <w:bidi/>
      <w:spacing w:after="160" w:line="259" w:lineRule="auto"/>
    </w:pPr>
  </w:style>
  <w:style w:type="paragraph" w:customStyle="1" w:styleId="339160BEB6814720AF40E4FBE094DF4E">
    <w:name w:val="339160BEB6814720AF40E4FBE094DF4E"/>
    <w:rsid w:val="005F1C8D"/>
    <w:pPr>
      <w:bidi/>
      <w:spacing w:after="160" w:line="259" w:lineRule="auto"/>
    </w:pPr>
  </w:style>
  <w:style w:type="paragraph" w:customStyle="1" w:styleId="7CDE174BBE6B474BB7C0E3EC7A1DB8EC">
    <w:name w:val="7CDE174BBE6B474BB7C0E3EC7A1DB8EC"/>
    <w:rsid w:val="005F1C8D"/>
    <w:pPr>
      <w:bidi/>
      <w:spacing w:after="160" w:line="259" w:lineRule="auto"/>
    </w:pPr>
  </w:style>
  <w:style w:type="paragraph" w:customStyle="1" w:styleId="2610D7B825F6491EA68CC7B0FF656C5E">
    <w:name w:val="2610D7B825F6491EA68CC7B0FF656C5E"/>
    <w:rsid w:val="005F1C8D"/>
    <w:pPr>
      <w:bidi/>
      <w:spacing w:after="160" w:line="259" w:lineRule="auto"/>
    </w:pPr>
  </w:style>
  <w:style w:type="paragraph" w:customStyle="1" w:styleId="048968D56E824276B40D45C9E497E7CB">
    <w:name w:val="048968D56E824276B40D45C9E497E7CB"/>
    <w:rsid w:val="005F1C8D"/>
    <w:pPr>
      <w:bidi/>
      <w:spacing w:after="160" w:line="259" w:lineRule="auto"/>
    </w:pPr>
  </w:style>
  <w:style w:type="paragraph" w:customStyle="1" w:styleId="71B30CB7E85E4ABF9CD3B46307F9A352">
    <w:name w:val="71B30CB7E85E4ABF9CD3B46307F9A352"/>
    <w:rsid w:val="005F1C8D"/>
    <w:pPr>
      <w:bidi/>
      <w:spacing w:after="160" w:line="259" w:lineRule="auto"/>
    </w:pPr>
  </w:style>
  <w:style w:type="paragraph" w:customStyle="1" w:styleId="6E9B64DE82404F9B827427D9CBC581D61">
    <w:name w:val="6E9B64DE82404F9B827427D9CBC581D61"/>
    <w:rsid w:val="001437D3"/>
    <w:pPr>
      <w:bidi/>
      <w:spacing w:after="0" w:line="240" w:lineRule="auto"/>
    </w:pPr>
    <w:rPr>
      <w:rFonts w:ascii="Times New Roman" w:eastAsia="Times New Roman" w:hAnsi="Times New Roman" w:cs="David"/>
      <w:noProof/>
      <w:sz w:val="24"/>
      <w:szCs w:val="24"/>
    </w:rPr>
  </w:style>
  <w:style w:type="paragraph" w:customStyle="1" w:styleId="4975FDB7C9824906A8EDDDC584D8F3331">
    <w:name w:val="4975FDB7C9824906A8EDDDC584D8F3331"/>
    <w:rsid w:val="001437D3"/>
    <w:pPr>
      <w:bidi/>
      <w:spacing w:after="0" w:line="240" w:lineRule="auto"/>
    </w:pPr>
    <w:rPr>
      <w:rFonts w:ascii="Times New Roman" w:eastAsia="Times New Roman" w:hAnsi="Times New Roman" w:cs="David"/>
      <w:noProof/>
      <w:sz w:val="24"/>
      <w:szCs w:val="24"/>
    </w:rPr>
  </w:style>
  <w:style w:type="paragraph" w:customStyle="1" w:styleId="A31CB7A2DB394CEAB6726F70B23689EA1">
    <w:name w:val="A31CB7A2DB394CEAB6726F70B23689EA1"/>
    <w:rsid w:val="001437D3"/>
    <w:pPr>
      <w:bidi/>
      <w:spacing w:after="0" w:line="240" w:lineRule="auto"/>
    </w:pPr>
    <w:rPr>
      <w:rFonts w:ascii="Times New Roman" w:eastAsia="Times New Roman" w:hAnsi="Times New Roman" w:cs="David"/>
      <w:noProof/>
      <w:sz w:val="24"/>
      <w:szCs w:val="24"/>
    </w:rPr>
  </w:style>
  <w:style w:type="paragraph" w:customStyle="1" w:styleId="5C75CD899DBA40E5ADA9E84C158720EE1">
    <w:name w:val="5C75CD899DBA40E5ADA9E84C158720EE1"/>
    <w:rsid w:val="001437D3"/>
    <w:pPr>
      <w:bidi/>
      <w:spacing w:after="0" w:line="240" w:lineRule="auto"/>
    </w:pPr>
    <w:rPr>
      <w:rFonts w:ascii="Times New Roman" w:eastAsia="Times New Roman" w:hAnsi="Times New Roman" w:cs="David"/>
      <w:noProof/>
      <w:sz w:val="24"/>
      <w:szCs w:val="24"/>
    </w:rPr>
  </w:style>
  <w:style w:type="paragraph" w:customStyle="1" w:styleId="7CDE174BBE6B474BB7C0E3EC7A1DB8EC1">
    <w:name w:val="7CDE174BBE6B474BB7C0E3EC7A1DB8EC1"/>
    <w:rsid w:val="001437D3"/>
    <w:pPr>
      <w:bidi/>
      <w:spacing w:after="0" w:line="240" w:lineRule="auto"/>
    </w:pPr>
    <w:rPr>
      <w:rFonts w:ascii="Times New Roman" w:eastAsia="Times New Roman" w:hAnsi="Times New Roman" w:cs="David"/>
      <w:noProof/>
      <w:sz w:val="24"/>
      <w:szCs w:val="24"/>
    </w:rPr>
  </w:style>
  <w:style w:type="paragraph" w:customStyle="1" w:styleId="2610D7B825F6491EA68CC7B0FF656C5E1">
    <w:name w:val="2610D7B825F6491EA68CC7B0FF656C5E1"/>
    <w:rsid w:val="001437D3"/>
    <w:pPr>
      <w:bidi/>
      <w:spacing w:after="0" w:line="240" w:lineRule="auto"/>
    </w:pPr>
    <w:rPr>
      <w:rFonts w:ascii="Times New Roman" w:eastAsia="Times New Roman" w:hAnsi="Times New Roman" w:cs="David"/>
      <w:noProof/>
      <w:sz w:val="24"/>
      <w:szCs w:val="24"/>
    </w:rPr>
  </w:style>
  <w:style w:type="paragraph" w:customStyle="1" w:styleId="048968D56E824276B40D45C9E497E7CB1">
    <w:name w:val="048968D56E824276B40D45C9E497E7CB1"/>
    <w:rsid w:val="001437D3"/>
    <w:pPr>
      <w:bidi/>
      <w:spacing w:after="0" w:line="240" w:lineRule="auto"/>
    </w:pPr>
    <w:rPr>
      <w:rFonts w:ascii="Times New Roman" w:eastAsia="Times New Roman" w:hAnsi="Times New Roman" w:cs="David"/>
      <w:noProof/>
      <w:sz w:val="24"/>
      <w:szCs w:val="24"/>
    </w:rPr>
  </w:style>
  <w:style w:type="paragraph" w:customStyle="1" w:styleId="71B30CB7E85E4ABF9CD3B46307F9A3521">
    <w:name w:val="71B30CB7E85E4ABF9CD3B46307F9A3521"/>
    <w:rsid w:val="001437D3"/>
    <w:pPr>
      <w:bidi/>
      <w:spacing w:after="0" w:line="240" w:lineRule="auto"/>
    </w:pPr>
    <w:rPr>
      <w:rFonts w:ascii="Times New Roman" w:eastAsia="Times New Roman" w:hAnsi="Times New Roman" w:cs="David"/>
      <w:noProof/>
      <w:sz w:val="24"/>
      <w:szCs w:val="24"/>
    </w:rPr>
  </w:style>
  <w:style w:type="paragraph" w:customStyle="1" w:styleId="E460D38E05664FF79D4EFF282EF8EC9937">
    <w:name w:val="E460D38E05664FF79D4EFF282EF8EC9937"/>
    <w:rsid w:val="001437D3"/>
    <w:pPr>
      <w:bidi/>
      <w:spacing w:after="0" w:line="240" w:lineRule="auto"/>
    </w:pPr>
    <w:rPr>
      <w:rFonts w:ascii="Times New Roman" w:eastAsia="Times New Roman" w:hAnsi="Times New Roman" w:cs="David"/>
      <w:noProof/>
      <w:sz w:val="24"/>
      <w:szCs w:val="24"/>
    </w:rPr>
  </w:style>
  <w:style w:type="paragraph" w:customStyle="1" w:styleId="6E9B64DE82404F9B827427D9CBC581D62">
    <w:name w:val="6E9B64DE82404F9B827427D9CBC581D62"/>
    <w:rsid w:val="00837871"/>
    <w:pPr>
      <w:bidi/>
      <w:spacing w:after="0" w:line="240" w:lineRule="auto"/>
    </w:pPr>
    <w:rPr>
      <w:rFonts w:ascii="Times New Roman" w:eastAsia="Times New Roman" w:hAnsi="Times New Roman" w:cs="David"/>
      <w:noProof/>
      <w:sz w:val="24"/>
      <w:szCs w:val="24"/>
    </w:rPr>
  </w:style>
  <w:style w:type="paragraph" w:customStyle="1" w:styleId="4975FDB7C9824906A8EDDDC584D8F3332">
    <w:name w:val="4975FDB7C9824906A8EDDDC584D8F3332"/>
    <w:rsid w:val="00837871"/>
    <w:pPr>
      <w:bidi/>
      <w:spacing w:after="0" w:line="240" w:lineRule="auto"/>
    </w:pPr>
    <w:rPr>
      <w:rFonts w:ascii="Times New Roman" w:eastAsia="Times New Roman" w:hAnsi="Times New Roman" w:cs="David"/>
      <w:noProof/>
      <w:sz w:val="24"/>
      <w:szCs w:val="24"/>
    </w:rPr>
  </w:style>
  <w:style w:type="paragraph" w:customStyle="1" w:styleId="A31CB7A2DB394CEAB6726F70B23689EA2">
    <w:name w:val="A31CB7A2DB394CEAB6726F70B23689EA2"/>
    <w:rsid w:val="00837871"/>
    <w:pPr>
      <w:bidi/>
      <w:spacing w:after="0" w:line="240" w:lineRule="auto"/>
    </w:pPr>
    <w:rPr>
      <w:rFonts w:ascii="Times New Roman" w:eastAsia="Times New Roman" w:hAnsi="Times New Roman" w:cs="David"/>
      <w:noProof/>
      <w:sz w:val="24"/>
      <w:szCs w:val="24"/>
    </w:rPr>
  </w:style>
  <w:style w:type="paragraph" w:customStyle="1" w:styleId="5C75CD899DBA40E5ADA9E84C158720EE2">
    <w:name w:val="5C75CD899DBA40E5ADA9E84C158720EE2"/>
    <w:rsid w:val="00837871"/>
    <w:pPr>
      <w:bidi/>
      <w:spacing w:after="0" w:line="240" w:lineRule="auto"/>
    </w:pPr>
    <w:rPr>
      <w:rFonts w:ascii="Times New Roman" w:eastAsia="Times New Roman" w:hAnsi="Times New Roman" w:cs="David"/>
      <w:noProof/>
      <w:sz w:val="24"/>
      <w:szCs w:val="24"/>
    </w:rPr>
  </w:style>
  <w:style w:type="paragraph" w:customStyle="1" w:styleId="7CDE174BBE6B474BB7C0E3EC7A1DB8EC2">
    <w:name w:val="7CDE174BBE6B474BB7C0E3EC7A1DB8EC2"/>
    <w:rsid w:val="00837871"/>
    <w:pPr>
      <w:bidi/>
      <w:spacing w:after="0" w:line="240" w:lineRule="auto"/>
    </w:pPr>
    <w:rPr>
      <w:rFonts w:ascii="Times New Roman" w:eastAsia="Times New Roman" w:hAnsi="Times New Roman" w:cs="David"/>
      <w:noProof/>
      <w:sz w:val="24"/>
      <w:szCs w:val="24"/>
    </w:rPr>
  </w:style>
  <w:style w:type="paragraph" w:customStyle="1" w:styleId="2610D7B825F6491EA68CC7B0FF656C5E2">
    <w:name w:val="2610D7B825F6491EA68CC7B0FF656C5E2"/>
    <w:rsid w:val="00837871"/>
    <w:pPr>
      <w:bidi/>
      <w:spacing w:after="0" w:line="240" w:lineRule="auto"/>
    </w:pPr>
    <w:rPr>
      <w:rFonts w:ascii="Times New Roman" w:eastAsia="Times New Roman" w:hAnsi="Times New Roman" w:cs="David"/>
      <w:noProof/>
      <w:sz w:val="24"/>
      <w:szCs w:val="24"/>
    </w:rPr>
  </w:style>
  <w:style w:type="paragraph" w:customStyle="1" w:styleId="048968D56E824276B40D45C9E497E7CB2">
    <w:name w:val="048968D56E824276B40D45C9E497E7CB2"/>
    <w:rsid w:val="00837871"/>
    <w:pPr>
      <w:bidi/>
      <w:spacing w:after="0" w:line="240" w:lineRule="auto"/>
    </w:pPr>
    <w:rPr>
      <w:rFonts w:ascii="Times New Roman" w:eastAsia="Times New Roman" w:hAnsi="Times New Roman" w:cs="David"/>
      <w:noProof/>
      <w:sz w:val="24"/>
      <w:szCs w:val="24"/>
    </w:rPr>
  </w:style>
  <w:style w:type="paragraph" w:customStyle="1" w:styleId="71B30CB7E85E4ABF9CD3B46307F9A3522">
    <w:name w:val="71B30CB7E85E4ABF9CD3B46307F9A3522"/>
    <w:rsid w:val="00837871"/>
    <w:pPr>
      <w:bidi/>
      <w:spacing w:after="0" w:line="240" w:lineRule="auto"/>
    </w:pPr>
    <w:rPr>
      <w:rFonts w:ascii="Times New Roman" w:eastAsia="Times New Roman" w:hAnsi="Times New Roman" w:cs="David"/>
      <w:noProof/>
      <w:sz w:val="24"/>
      <w:szCs w:val="24"/>
    </w:rPr>
  </w:style>
  <w:style w:type="paragraph" w:customStyle="1" w:styleId="E460D38E05664FF79D4EFF282EF8EC9938">
    <w:name w:val="E460D38E05664FF79D4EFF282EF8EC9938"/>
    <w:rsid w:val="0083787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גלית יוסף עוז</FullName>
        <FirstName>גלית</FirstName>
        <LastName>יוסף עוז</LastName>
        <PartyPropertyName/>
        <AuthenticationTypeAndNumber>ת"ז 024839904</AuthenticationTypeAndNumber>
        <RepresentatedOrRepresentativesNames/>
        <RepresentatedOrRepresentativesCount>0</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234820077</CasePartyID>
        <PartyTypeID>3</PartyTypeID>
        <ActivityStatusID>1</ActivityStatusID>
        <LegalEntityID>45288265</LegalEntityID>
        <CaseLegalEntityID>117901608</CaseLegalEntityID>
        <AssistantRoleID>103</AssistantRoleID>
        <AuthenticationTypeID>1</AuthenticationTypeID>
        <AuthenticationTypeName>ת"ז</AuthenticationTypeName>
        <LegalEntityNumber>024839904</LegalEntityNumber>
        <IsMainPartyType>true</IsMainPartyType>
        <CaseDisplayIdentifier>65669-08-21</CaseDisplayIdentifier>
        <CaseTypeID>1</CaseTypeID>
        <CaseTypeName>תיק אזרחי בסדר דין רגיל (ת"א)</CaseTypeName>
        <CaseName>פלג נ' בן חיים ואח'</CaseName>
        <FullAddress>פתח תקווה </FullAddress>
        <EmailAddress>galityos@zahav.net.il</EmailAddress>
        <MotionID>0</MotionID>
        <CasePleaID>0</CasePleaID>
        <LinkedCaseID>0</LinkedCaseID>
        <PartyID>1</PartyID>
        <CasePartyCategoryID>2</CasePartyCategoryID>
        <LegalEntityAddressID>71260590</LegalEntityAddressID>
        <LegalEntityEmailAddressID>43827673</LegalEntityEmailAddressID>
        <PleaTypeID>4</PleaTypeID>
        <GroupPartyAlias/>
        <IsConverted>false</IsConverted>
        <LegalEntityNameID>90062732</LegalEntityNameID>
        <RepresentatedNamesOfAssistant/>
        <LegalEntityTypeID>11</LegalEntityTypeID>
        <IsVerdictExists>false</IsVerdictExists>
        <IsAsirAzir>false</IsAsirAzir>
        <IsPublicationProhibited>false</IsPublicationProhibited>
        <PublicationProhibitedFullName>גלית יוסף עוז</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אילנה קמינסקי</FullName>
        <FirstName>אילנה</FirstName>
        <LastName>קמינסקי</LastName>
        <PartyPropertyName/>
        <AuthenticationTypeAndNumber>ת"ז </AuthenticationTypeAndNumber>
        <RepresentatedOrRepresentativesNames/>
        <RepresentatedOrRepresentativesCount>0</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255894738</CasePartyID>
        <PartyTypeID>4</PartyTypeID>
        <ActivityStatusID>1</ActivityStatusID>
        <PartyAliasID>62</PartyAliasID>
        <PartyAliasName>עד הגנה</PartyAliasName>
        <LegalEntityID>81225079</LegalEntityID>
        <CaseLegalEntityID>124415515</CaseLegalEntityID>
        <AuthenticationTypeID>1</AuthenticationTypeID>
        <AuthenticationTypeName>ת"ז</AuthenticationTypeName>
        <IsMainPartyType>true</IsMainPartyType>
        <CaseDisplayIdentifier>65669-08-21</CaseDisplayIdentifier>
        <CaseTypeID>1</CaseTypeID>
        <CaseTypeName>תיק אזרחי בסדר דין רגיל (ת"א)</CaseTypeName>
        <CaseName>פלג נ' בן חיים ואח'</CaseName>
        <FullAddress>הצבי 44 חיפה </FullAddress>
        <MotionID>0</MotionID>
        <CasePleaID>0</CasePleaID>
        <LinkedCaseID>0</LinkedCaseID>
        <PartyID>2</PartyID>
        <CasePartyCategoryID>2</CasePartyCategoryID>
        <LegalEntityAddressID>87933240</LegalEntityAddressID>
        <PleaTypeID>4</PleaTypeID>
        <GroupPartyAlias/>
        <IsConverted>false</IsConverted>
        <LegalEntityNameID>94886822</LegalEntityNameID>
        <RepresentatedNamesOfAssistant/>
        <LegalEntityTypeID>1</LegalEntityTypeID>
        <IsVerdictExists>false</IsVerdictExists>
        <IsAsirAzir>false</IsAsirAzir>
        <IsPublicationProhibited>false</IsPublicationProhibited>
        <PublicationProhibitedFullName>אילנה קמינסקי</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יחזקאל דניאלי</FullName>
        <FirstName>יחזקאל</FirstName>
        <LastName>דניאלי</LastName>
        <PartyPropertyName/>
        <AuthenticationTypeAndNumber>ת"ז </AuthenticationTypeAndNumber>
        <RepresentatedOrRepresentativesNames/>
        <RepresentatedOrRepresentativesCount>0</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255894875</CasePartyID>
        <PartyTypeID>4</PartyTypeID>
        <ActivityStatusID>1</ActivityStatusID>
        <PartyAliasID>62</PartyAliasID>
        <PartyAliasName>עד הגנה</PartyAliasName>
        <LegalEntityID>81225088</LegalEntityID>
        <CaseLegalEntityID>124415564</CaseLegalEntityID>
        <AuthenticationTypeID>1</AuthenticationTypeID>
        <AuthenticationTypeName>ת"ז</AuthenticationTypeName>
        <IsMainPartyType>true</IsMainPartyType>
        <CaseDisplayIdentifier>65669-08-21</CaseDisplayIdentifier>
        <CaseTypeID>1</CaseTypeID>
        <CaseTypeName>תיק אזרחי בסדר דין רגיל (ת"א)</CaseTypeName>
        <CaseName>פלג נ' בן חיים ואח'</CaseName>
        <FullAddress>רוטשילד 133 תל אביב -יפו </FullAddress>
        <MotionID>0</MotionID>
        <CasePleaID>0</CasePleaID>
        <LinkedCaseID>0</LinkedCaseID>
        <PartyID>2</PartyID>
        <CasePartyCategoryID>2</CasePartyCategoryID>
        <LegalEntityAddressID>87933254</LegalEntityAddressID>
        <PleaTypeID>4</PleaTypeID>
        <GroupPartyAlias/>
        <IsConverted>false</IsConverted>
        <LegalEntityNameID>94886845</LegalEntityNameID>
        <RepresentatedNamesOfAssistant/>
        <LegalEntityTypeID>1</LegalEntityTypeID>
        <IsVerdictExists>false</IsVerdictExists>
        <IsAsirAzir>false</IsAsirAzir>
        <IsPublicationProhibited>false</IsPublicationProhibited>
        <PublicationProhibitedFullName>יחזקאל דניאלי</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עומר ינאי</FullName>
        <FirstName>עומר</FirstName>
        <LastName>ינאי</LastName>
        <PartyPropertyName/>
        <AuthenticationTypeAndNumber>ת"ז </AuthenticationTypeAndNumber>
        <RepresentatedOrRepresentativesNames/>
        <RepresentatedOrRepresentativesCount>0</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255894980</CasePartyID>
        <PartyTypeID>4</PartyTypeID>
        <ActivityStatusID>1</ActivityStatusID>
        <PartyAliasID>62</PartyAliasID>
        <PartyAliasName>עד הגנה</PartyAliasName>
        <LegalEntityID>81225094</LegalEntityID>
        <CaseLegalEntityID>124415589</CaseLegalEntityID>
        <AuthenticationTypeID>1</AuthenticationTypeID>
        <AuthenticationTypeName>ת"ז</AuthenticationTypeName>
        <IsMainPartyType>true</IsMainPartyType>
        <CaseDisplayIdentifier>65669-08-21</CaseDisplayIdentifier>
        <CaseTypeID>1</CaseTypeID>
        <CaseTypeName>תיק אזרחי בסדר דין רגיל (ת"א)</CaseTypeName>
        <CaseName>פלג נ' בן חיים ואח'</CaseName>
        <FullAddress>התמרים 16 רמת גן </FullAddress>
        <MotionID>0</MotionID>
        <CasePleaID>0</CasePleaID>
        <LinkedCaseID>0</LinkedCaseID>
        <PartyID>2</PartyID>
        <CasePartyCategoryID>2</CasePartyCategoryID>
        <LegalEntityAddressID>87933266</LegalEntityAddressID>
        <PleaTypeID>4</PleaTypeID>
        <GroupPartyAlias/>
        <IsConverted>false</IsConverted>
        <LegalEntityNameID>94886858</LegalEntityNameID>
        <RepresentatedNamesOfAssistant/>
        <LegalEntityTypeID>1</LegalEntityTypeID>
        <IsVerdictExists>false</IsVerdictExists>
        <IsAsirAzir>false</IsAsirAzir>
        <IsPublicationProhibited>false</IsPublicationProhibited>
        <PublicationProhibitedFullName>עומר ינאי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תמר בתיה פלג</FullName>
        <FirstName>תמר בתיה</FirstName>
        <LastName>פלג</LastName>
        <PartyPropertyName/>
        <AuthenticationTypeAndNumber>ת"ז 052255643</AuthenticationTypeAndNumber>
        <RepresentatedOrRepresentativesNames>עומר קאופמן</RepresentatedOrRepresentativesNames>
        <RepresentatedOrRepresentativesCount>1</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230635250</CasePartyID>
        <PartyTypeID>1</PartyTypeID>
        <ActivityStatusID>1</ActivityStatusID>
        <PartyAliasID>1</PartyAliasID>
        <PartyAliasName>תובע</PartyAliasName>
        <OrdinalNumber>1</OrdinalNumber>
        <LegalEntityID>2121089</LegalEntityID>
        <CaseLegalEntityID>116609321</CaseLegalEntityID>
        <AuthenticationTypeID>1</AuthenticationTypeID>
        <AuthenticationTypeName>ת"ז</AuthenticationTypeName>
        <LegalEntityNumber>052255643</LegalEntityNumber>
        <IsMainPartyType>true</IsMainPartyType>
        <CaseDisplayIdentifier>65669-08-21</CaseDisplayIdentifier>
        <CaseTypeID>1</CaseTypeID>
        <CaseTypeName>תיק אזרחי בסדר דין רגיל (ת"א)</CaseTypeName>
        <CaseName>פלג נ' בן חיים ואח'</CaseName>
        <FullAddress/>
        <MotionID>0</MotionID>
        <CasePleaID>0</CasePleaID>
        <FatherName>מוטל</FatherName>
        <LinkedCaseID>0</LinkedCaseID>
        <PartyID>1</PartyID>
        <CasePartyCategoryID>2</CasePartyCategoryID>
        <PleaTypeID>4</PleaTypeID>
        <GroupPartyAlias>תובעים</GroupPartyAlias>
        <IsConverted>false</IsConverted>
        <LegalEntityRegisteredNameID>337363</LegalEntityRegisteredNameID>
        <LegalEntityNameID>93247602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 בתיה פלג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עומר קאופמן</FullName>
        <FirstName>עומר</FirstName>
        <LastName>קאופמן</LastName>
        <PartyPropertyName/>
        <AuthenticationTypeAndNumber>מ.ר. 79083</AuthenticationTypeAndNumber>
        <RepresentatedOrRepresentativesNames>תמר בתיה פלג</RepresentatedOrRepresentativesNames>
        <RepresentatedOrRepresentativesCount>1</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230635251</CasePartyID>
        <PartyTypeID>2</PartyTypeID>
        <ActivityStatusID>1</ActivityStatusID>
        <PartyAliasID>20</PartyAliasID>
        <PartyAliasName>בא כוח תובעים</PartyAliasName>
        <OrdinalNumber>1</OrdinalNumber>
        <LegalEntityID>76746380</LegalEntityID>
        <CaseLegalEntityID>116609322</CaseLegalEntityID>
        <AuthenticationTypeID>4</AuthenticationTypeID>
        <AuthenticationTypeName>מ.ר.</AuthenticationTypeName>
        <LegalEntityNumber>79083</LegalEntityNumber>
        <IsMainPartyType>true</IsMainPartyType>
        <CaseDisplayIdentifier>65669-08-21</CaseDisplayIdentifier>
        <CaseTypeID>1</CaseTypeID>
        <CaseTypeName>תיק אזרחי בסדר דין רגיל (ת"א)</CaseTypeName>
        <CaseName>פלג נ' בן חיים ואח'</CaseName>
        <FullAddress/>
        <MotionID>0</MotionID>
        <CasePleaID>0</CasePleaID>
        <LinkedCaseID>0</LinkedCaseID>
        <PartyID>1</PartyID>
        <CasePartyCategoryID>2</CasePartyCategoryID>
        <PleaTypeID>4</PleaTypeID>
        <LawyerOfficeName>משרד עו"ד: רוטנשטרייך גיצלטר</LawyerOfficeName>
        <LawyerOfficeID>421850</LawyerOfficeID>
        <GroupPartyAlias/>
        <IsConverted>false</IsConverted>
        <LegalEntityNameID>84707533</LegalEntityNameID>
        <RepresentatedNamesOfAssistant/>
        <LegalEntityTypeID>4</LegalEntityTypeID>
        <IsVerdictExists>false</IsVerdictExists>
        <IsAsirAzir>false</IsAsirAzir>
        <IsPublicationProhibited>false</IsPublicationProhibited>
        <PublicationProhibitedFullName>עומר קאופמן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מרדכי גרון</FullName>
        <FirstName>מרדכי</FirstName>
        <LastName>גרון</LastName>
        <PartyPropertyName/>
        <AuthenticationTypeAndNumber>מ.ר. 6935</AuthenticationTypeAndNumber>
        <RepresentatedOrRepresentativesNames>פז אילן, רז אילן, שרה בן חיים, בני בן ציון מלומד, בן קמינסקי</RepresentatedOrRepresentativesNames>
        <RepresentatedOrRepresentativesCount>5</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230734031</CasePartyID>
        <PartyTypeID>2</PartyTypeID>
        <ActivityStatusID>1</ActivityStatusID>
        <PartyAliasID>21</PartyAliasID>
        <PartyAliasName>בא כוח נתבעים</PartyAliasName>
        <OrdinalNumber>1</OrdinalNumber>
        <LegalEntityID>380269</LegalEntityID>
        <CaseLegalEntityID>116641459</CaseLegalEntityID>
        <AuthenticationTypeID>4</AuthenticationTypeID>
        <AuthenticationTypeName>מ.ר.</AuthenticationTypeName>
        <LegalEntityNumber>6935</LegalEntityNumber>
        <IsMainPartyType>true</IsMainPartyType>
        <CaseDisplayIdentifier>65669-08-21</CaseDisplayIdentifier>
        <CaseTypeID>1</CaseTypeID>
        <CaseTypeName>תיק אזרחי בסדר דין רגיל (ת"א)</CaseTypeName>
        <CaseName>פלג נ' בן חיים ואח'</CaseName>
        <FullAddress>כנרת 5 בני ברק </FullAddress>
        <EmailAddress>m4geron@012.net.il</EmailAddress>
        <MotionID>0</MotionID>
        <CasePleaID>0</CasePleaID>
        <FatherName xml:space="preserve">        </FatherName>
        <LinkedCaseID>0</LinkedCaseID>
        <PartyID>2</PartyID>
        <CasePartyCategoryID>2</CasePartyCategoryID>
        <LegalEntityAddressID>75433647</LegalEntityAddressID>
        <LegalEntityEmailAddressID>68326509</LegalEntityEmailAddressID>
        <PleaTypeID>4</PleaTypeID>
        <LawyerOfficeName>משרד עו"ד: מרדכי גרון</LawyerOfficeName>
        <LawyerOfficeID>420913</LawyerOfficeID>
        <GroupPartyAlias/>
        <IsConverted>false</IsConverted>
        <LegalEntityNameID>1253</LegalEntityNameID>
        <RepresentatedNamesOfAssistant/>
        <LegalEntityTypeID>4</LegalEntityTypeID>
        <IsVerdictExists>false</IsVerdictExists>
        <IsAsirAzir>false</IsAsirAzir>
        <IsPublicationProhibited>false</IsPublicationProhibited>
        <PublicationProhibitedFullName>מרדכי גרון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שרה בן חיים</FullName>
        <FirstName>שרה</FirstName>
        <LastName>בן חיים</LastName>
        <PartyPropertyName/>
        <AuthenticationTypeAndNumber>ת"ז 051831550</AuthenticationTypeAndNumber>
        <RepresentatedOrRepresentativesNames>מרדכי גרון</RepresentatedOrRepresentativesNames>
        <RepresentatedOrRepresentativesCount>1</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230635252</CasePartyID>
        <PartyTypeID>1</PartyTypeID>
        <ActivityStatusID>1</ActivityStatusID>
        <PartyAliasID>2</PartyAliasID>
        <PartyAliasName>נתבע</PartyAliasName>
        <OrdinalNumber>1</OrdinalNumber>
        <LegalEntityID>16637610</LegalEntityID>
        <CaseLegalEntityID>116609323</CaseLegalEntityID>
        <AuthenticationTypeID>1</AuthenticationTypeID>
        <AuthenticationTypeName>ת"ז</AuthenticationTypeName>
        <LegalEntityNumber>051831550</LegalEntityNumber>
        <IsMainPartyType>true</IsMainPartyType>
        <CaseDisplayIdentifier>65669-08-21</CaseDisplayIdentifier>
        <CaseTypeID>1</CaseTypeID>
        <CaseTypeName>תיק אזרחי בסדר דין רגיל (ת"א)</CaseTypeName>
        <CaseName>פלג נ' בן חיים ואח'</CaseName>
        <FullAddress/>
        <MotionID>0</MotionID>
        <CasePleaID>0</CasePleaID>
        <FatherName>דוד</FatherName>
        <LinkedCaseID>0</LinkedCaseID>
        <PartyID>2</PartyID>
        <CasePartyCategoryID>2</CasePartyCategoryID>
        <PleaTypeID>4</PleaTypeID>
        <GroupPartyAlias>נתבעים</GroupPartyAlias>
        <IsConverted>false</IsConverted>
        <LegalEntityRegisteredNameID>9445746</LegalEntityRegisteredNameID>
        <LegalEntityNameID>91888014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שרה בן חיים</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בן קמינסקי</FullName>
        <FirstName>בן</FirstName>
        <LastName>קמינסקי</LastName>
        <PartyPropertyName/>
        <AuthenticationTypeAndNumber>ת"ז 039300058</AuthenticationTypeAndNumber>
        <RepresentatedOrRepresentativesNames>מרדכי גרון</RepresentatedOrRepresentativesNames>
        <RepresentatedOrRepresentativesCount>1</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230635253</CasePartyID>
        <PartyTypeID>1</PartyTypeID>
        <ActivityStatusID>1</ActivityStatusID>
        <PartyAliasID>2</PartyAliasID>
        <PartyAliasName>נתבע</PartyAliasName>
        <OrdinalNumber>2</OrdinalNumber>
        <LegalEntityID>16622694</LegalEntityID>
        <CaseLegalEntityID>116609324</CaseLegalEntityID>
        <AuthenticationTypeID>1</AuthenticationTypeID>
        <AuthenticationTypeName>ת"ז</AuthenticationTypeName>
        <LegalEntityNumber>039300058</LegalEntityNumber>
        <IsMainPartyType>true</IsMainPartyType>
        <CaseDisplayIdentifier>65669-08-21</CaseDisplayIdentifier>
        <CaseTypeID>1</CaseTypeID>
        <CaseTypeName>תיק אזרחי בסדר דין רגיל (ת"א)</CaseTypeName>
        <CaseName>פלג נ' בן חיים ואח'</CaseName>
        <FullAddress/>
        <MotionID>0</MotionID>
        <CasePleaID>0</CasePleaID>
        <FatherName>אהרון אהרלה</FatherName>
        <LinkedCaseID>0</LinkedCaseID>
        <PartyID>2</PartyID>
        <CasePartyCategoryID>2</CasePartyCategoryID>
        <PleaTypeID>4</PleaTypeID>
        <GroupPartyAlias>נתבעים</GroupPartyAlias>
        <IsConverted>false</IsConverted>
        <LegalEntityRegisteredNameID>8773754</LegalEntityRegisteredNameID>
        <LegalEntityNameID>93247605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בן קמינסקי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פז אילן</FullName>
        <FirstName>פז</FirstName>
        <LastName>אילן</LastName>
        <PartyPropertyName/>
        <AuthenticationTypeAndNumber>ת"ז 200326767</AuthenticationTypeAndNumber>
        <RepresentatedOrRepresentativesNames>מרדכי גרון</RepresentatedOrRepresentativesNames>
        <RepresentatedOrRepresentativesCount>1</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230635254</CasePartyID>
        <PartyTypeID>1</PartyTypeID>
        <ActivityStatusID>1</ActivityStatusID>
        <PartyAliasID>2</PartyAliasID>
        <PartyAliasName>נתבע</PartyAliasName>
        <OrdinalNumber>3</OrdinalNumber>
        <LegalEntityID>79562733</LegalEntityID>
        <CaseLegalEntityID>116609325</CaseLegalEntityID>
        <AuthenticationTypeID>1</AuthenticationTypeID>
        <AuthenticationTypeName>ת"ז</AuthenticationTypeName>
        <LegalEntityNumber>200326767</LegalEntityNumber>
        <IsMainPartyType>true</IsMainPartyType>
        <CaseDisplayIdentifier>65669-08-21</CaseDisplayIdentifier>
        <CaseTypeID>1</CaseTypeID>
        <CaseTypeName>תיק אזרחי בסדר דין רגיל (ת"א)</CaseTypeName>
        <CaseName>פלג נ' בן חיים ואח'</CaseName>
        <FullAddress/>
        <MotionID>0</MotionID>
        <CasePleaID>0</CasePleaID>
        <FatherName>דניאל</FatherName>
        <LinkedCaseID>0</LinkedCaseID>
        <PartyID>2</PartyID>
        <CasePartyCategoryID>2</CasePartyCategoryID>
        <PleaTypeID>4</PleaTypeID>
        <GroupPartyAlias>נתבעים</GroupPartyAlias>
        <IsConverted>false</IsConverted>
        <LegalEntityRegisteredNameID>9419387</LegalEntityRegisteredNameID>
        <LegalEntityNameID>93247621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פז אילן</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רז אילן</FullName>
        <FirstName>רז</FirstName>
        <LastName>אילן</LastName>
        <PartyPropertyName/>
        <AuthenticationTypeAndNumber>ת"ז 300004405</AuthenticationTypeAndNumber>
        <RepresentatedOrRepresentativesNames>מרדכי גרון</RepresentatedOrRepresentativesNames>
        <RepresentatedOrRepresentativesCount>1</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230635255</CasePartyID>
        <PartyTypeID>1</PartyTypeID>
        <ActivityStatusID>1</ActivityStatusID>
        <PartyAliasID>2</PartyAliasID>
        <PartyAliasName>נתבע</PartyAliasName>
        <OrdinalNumber>4</OrdinalNumber>
        <LegalEntityID>79562734</LegalEntityID>
        <CaseLegalEntityID>116609326</CaseLegalEntityID>
        <AuthenticationTypeID>1</AuthenticationTypeID>
        <AuthenticationTypeName>ת"ז</AuthenticationTypeName>
        <LegalEntityNumber>300004405</LegalEntityNumber>
        <IsMainPartyType>true</IsMainPartyType>
        <CaseDisplayIdentifier>65669-08-21</CaseDisplayIdentifier>
        <CaseTypeID>1</CaseTypeID>
        <CaseTypeName>תיק אזרחי בסדר דין רגיל (ת"א)</CaseTypeName>
        <CaseName>פלג נ' בן חיים ואח'</CaseName>
        <FullAddress/>
        <MotionID>0</MotionID>
        <CasePleaID>0</CasePleaID>
        <FatherName>דניאל</FatherName>
        <LinkedCaseID>0</LinkedCaseID>
        <PartyID>2</PartyID>
        <CasePartyCategoryID>2</CasePartyCategoryID>
        <PleaTypeID>4</PleaTypeID>
        <GroupPartyAlias>נתבעים</GroupPartyAlias>
        <IsConverted>false</IsConverted>
        <LegalEntityRegisteredNameID>9419388</LegalEntityRegisteredNameID>
        <LegalEntityNameID>93247622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רז אילן</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בני בן ציון מלומד</FullName>
        <FirstName>בני בן ציון</FirstName>
        <LastName>מלומד</LastName>
        <PartyPropertyName/>
        <AuthenticationTypeAndNumber>ת"ז 029640836</AuthenticationTypeAndNumber>
        <RepresentatedOrRepresentativesNames>מרדכי גרון</RepresentatedOrRepresentativesNames>
        <RepresentatedOrRepresentativesCount>1</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230652863</CasePartyID>
        <PartyTypeID>1</PartyTypeID>
        <ActivityStatusID>1</ActivityStatusID>
        <PartyAliasID>2</PartyAliasID>
        <PartyAliasName>נתבע</PartyAliasName>
        <OrdinalNumber>5</OrdinalNumber>
        <LegalEntityID>79562735</LegalEntityID>
        <CaseLegalEntityID>116609327</CaseLegalEntityID>
        <AuthenticationTypeID>1</AuthenticationTypeID>
        <AuthenticationTypeName>ת"ז</AuthenticationTypeName>
        <LegalEntityNumber>029640836</LegalEntityNumber>
        <IsMainPartyType>true</IsMainPartyType>
        <CaseDisplayIdentifier>65669-08-21</CaseDisplayIdentifier>
        <CaseTypeID>1</CaseTypeID>
        <CaseTypeName>תיק אזרחי בסדר דין רגיל (ת"א)</CaseTypeName>
        <CaseName>פלג נ' בן חיים ואח'</CaseName>
        <FullAddress>היצירה 3 רמת גן </FullAddress>
        <MotionID>0</MotionID>
        <CasePleaID>0</CasePleaID>
        <FatherName>יוסף אלחנן</FatherName>
        <LinkedCaseID>0</LinkedCaseID>
        <PartyID>2</PartyID>
        <CasePartyCategoryID>2</CasePartyCategoryID>
        <LegalEntityAddressID>85564136</LegalEntityAddressID>
        <PleaTypeID>4</PleaTypeID>
        <GroupPartyAlias>נתבעים</GroupPartyAlias>
        <IsConverted>false</IsConverted>
        <LegalEntityRegisteredNameID>9419389</LegalEntityRegisteredNameID>
        <LegalEntityNameID>93247632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בני בן ציון מלומד</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עמרי ינאי</FullName>
        <FirstName>עמרי</FirstName>
        <LastName>ינאי</LastName>
        <PartyPropertyName/>
        <AuthenticationTypeAndNumber>ת"ז 206398224</AuthenticationTypeAndNumber>
        <RepresentatedOrRepresentativesNames/>
        <RepresentatedOrRepresentativesCount>0</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230635257</CasePartyID>
        <PartyTypeID>1</PartyTypeID>
        <ActivityStatusID>1</ActivityStatusID>
        <PartyAliasID>2</PartyAliasID>
        <PartyAliasName>נתבע</PartyAliasName>
        <OrdinalNumber>6</OrdinalNumber>
        <LegalEntityID>79562736</LegalEntityID>
        <CaseLegalEntityID>116609328</CaseLegalEntityID>
        <AuthenticationTypeID>1</AuthenticationTypeID>
        <AuthenticationTypeName>ת"ז</AuthenticationTypeName>
        <LegalEntityNumber>206398224</LegalEntityNumber>
        <IsMainPartyType>true</IsMainPartyType>
        <CaseDisplayIdentifier>65669-08-21</CaseDisplayIdentifier>
        <CaseTypeID>1</CaseTypeID>
        <CaseTypeName>תיק אזרחי בסדר דין רגיל (ת"א)</CaseTypeName>
        <CaseName>פלג נ' בן חיים ואח'</CaseName>
        <FullAddress>0</FullAddress>
        <MotionID>0</MotionID>
        <CasePleaID>0</CasePleaID>
        <FatherName>דורון</FatherName>
        <LinkedCaseID>0</LinkedCaseID>
        <PartyID>2</PartyID>
        <CasePartyCategoryID>2</CasePartyCategoryID>
        <LegalEntityAddressID>87953104</LegalEntityAddressID>
        <PleaTypeID>4</PleaTypeID>
        <GroupPartyAlias>נתבעים</GroupPartyAlias>
        <IsConverted>false</IsConverted>
        <LegalEntityRegisteredNameID>9419390</LegalEntityRegisteredNameID>
        <LegalEntityNameID>93247633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עמרי ינאי</PublicationProhibitedFullName>
      </CaseParties>
    </CasePartiesSelectionDS>
    <DecisionName>פסק דין  שניתנה ע"י  אביים ברקאי</DecisionName>
    <CourtDisplayName>בית משפט השלום בתל אביב -יפו</CourtDisplayName>
    <IsCaseJudgePanel>false</IsCaseJudgePanel>
    <DecisionSignatureDate>2024-06-11T16:01:05.7304927+03:00</DecisionSignatureDate>
    <OpenCaseDate>2021-08-31T06:52:13+03:00</OpenCaseDate>
    <CaseFeeSum>1000000.000</CaseFeeSum>
    <DecisionTypeID>2</DecisionTypeID>
    <DecisionSignatureUserName>אביים ברקאי</DecisionSignatureUserName>
    <DecisionSignatureDateHebrew>2024-06-11T16:01:05.7304927+03:00</DecisionSignatureDateHebrew>
    <DecisionWriterID>022147607@GOV.IL</DecisionWriterID>
    <CourtAddress>רח' שוקן 25, תל אביב -יפו 66532</CourtAddress>
    <IsAutoTextInCaseExist>false</IsAutoTextInCaseExist>
    <DecisionSignatureRoleName>שופט</DecisionSignatureRoleName>
    <DecisionSignatureUserTitleName>שופט</DecisionSignatureUserTitleName>
    <CaseName>פלג נ' בן חיים ואח'</CaseName>
    <DecisionNumberInCase>10</DecisionNumberInCase>
  </dt_Decision>
  <dt_DecisionCase>
    <DecisionID>0</DecisionID>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גלית יוסף עוז</FullName>
        <FirstName>גלית</FirstName>
        <LastName>יוסף עוז</LastName>
        <PartyPropertyName/>
        <AuthenticationTypeAndNumber>ת"ז 024839904</AuthenticationTypeAndNumber>
        <RepresentatedOrRepresentativesNames/>
        <RepresentatedOrRepresentativesCount>0</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234820077</CasePartyID>
        <PartyTypeID>3</PartyTypeID>
        <ActivityStatusID>1</ActivityStatusID>
        <LegalEntityID>45288265</LegalEntityID>
        <CaseLegalEntityID>117901608</CaseLegalEntityID>
        <AssistantRoleID>103</AssistantRoleID>
        <AuthenticationTypeID>1</AuthenticationTypeID>
        <AuthenticationTypeName>ת"ז</AuthenticationTypeName>
        <LegalEntityNumber>024839904</LegalEntityNumber>
        <IsMainPartyType>true</IsMainPartyType>
        <CaseDisplayIdentifier>65669-08-21</CaseDisplayIdentifier>
        <CaseTypeID>1</CaseTypeID>
        <CaseTypeName>תיק אזרחי בסדר דין רגיל (ת"א)</CaseTypeName>
        <CaseName>פלג נ' בן חיים ואח'</CaseName>
        <FullAddress>פתח תקווה </FullAddress>
        <EmailAddress>galityos@zahav.net.il</EmailAddress>
        <MotionID>0</MotionID>
        <CasePleaID>0</CasePleaID>
        <LinkedCaseID>0</LinkedCaseID>
        <PartyID>1</PartyID>
        <CasePartyCategoryID>2</CasePartyCategoryID>
        <LegalEntityAddressID>71260590</LegalEntityAddressID>
        <LegalEntityEmailAddressID>43827673</LegalEntityEmailAddressID>
        <PleaTypeID>4</PleaTypeID>
        <GroupPartyAlias/>
        <IsConverted>false</IsConverted>
        <LegalEntityNameID>90062732</LegalEntityNameID>
        <RepresentatedNamesOfAssistant/>
        <LegalEntityTypeID>11</LegalEntityTypeID>
        <IsVerdictExists>false</IsVerdictExists>
        <IsAsirAzir>false</IsAsirAzir>
        <IsPublicationProhibited>false</IsPublicationProhibited>
        <PublicationProhibitedFullName>גלית יוסף עוז</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אילנה קמינסקי</FullName>
        <FirstName>אילנה</FirstName>
        <LastName>קמינסקי</LastName>
        <PartyPropertyName/>
        <AuthenticationTypeAndNumber>ת"ז </AuthenticationTypeAndNumber>
        <RepresentatedOrRepresentativesNames/>
        <RepresentatedOrRepresentativesCount>0</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255894738</CasePartyID>
        <PartyTypeID>4</PartyTypeID>
        <ActivityStatusID>1</ActivityStatusID>
        <PartyAliasID>62</PartyAliasID>
        <PartyAliasName>עד הגנה</PartyAliasName>
        <LegalEntityID>81225079</LegalEntityID>
        <CaseLegalEntityID>124415515</CaseLegalEntityID>
        <AuthenticationTypeID>1</AuthenticationTypeID>
        <AuthenticationTypeName>ת"ז</AuthenticationTypeName>
        <IsMainPartyType>true</IsMainPartyType>
        <CaseDisplayIdentifier>65669-08-21</CaseDisplayIdentifier>
        <CaseTypeID>1</CaseTypeID>
        <CaseTypeName>תיק אזרחי בסדר דין רגיל (ת"א)</CaseTypeName>
        <CaseName>פלג נ' בן חיים ואח'</CaseName>
        <FullAddress>הצבי 44 חיפה </FullAddress>
        <MotionID>0</MotionID>
        <CasePleaID>0</CasePleaID>
        <LinkedCaseID>0</LinkedCaseID>
        <PartyID>2</PartyID>
        <CasePartyCategoryID>2</CasePartyCategoryID>
        <LegalEntityAddressID>87933240</LegalEntityAddressID>
        <PleaTypeID>4</PleaTypeID>
        <GroupPartyAlias/>
        <IsConverted>false</IsConverted>
        <LegalEntityNameID>94886822</LegalEntityNameID>
        <RepresentatedNamesOfAssistant/>
        <LegalEntityTypeID>1</LegalEntityTypeID>
        <IsVerdictExists>false</IsVerdictExists>
        <IsAsirAzir>false</IsAsirAzir>
        <IsPublicationProhibited>false</IsPublicationProhibited>
        <PublicationProhibitedFullName>אילנה קמינסקי</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יחזקאל דניאלי</FullName>
        <FirstName>יחזקאל</FirstName>
        <LastName>דניאלי</LastName>
        <PartyPropertyName/>
        <AuthenticationTypeAndNumber>ת"ז </AuthenticationTypeAndNumber>
        <RepresentatedOrRepresentativesNames/>
        <RepresentatedOrRepresentativesCount>0</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255894875</CasePartyID>
        <PartyTypeID>4</PartyTypeID>
        <ActivityStatusID>1</ActivityStatusID>
        <PartyAliasID>62</PartyAliasID>
        <PartyAliasName>עד הגנה</PartyAliasName>
        <LegalEntityID>81225088</LegalEntityID>
        <CaseLegalEntityID>124415564</CaseLegalEntityID>
        <AuthenticationTypeID>1</AuthenticationTypeID>
        <AuthenticationTypeName>ת"ז</AuthenticationTypeName>
        <IsMainPartyType>true</IsMainPartyType>
        <CaseDisplayIdentifier>65669-08-21</CaseDisplayIdentifier>
        <CaseTypeID>1</CaseTypeID>
        <CaseTypeName>תיק אזרחי בסדר דין רגיל (ת"א)</CaseTypeName>
        <CaseName>פלג נ' בן חיים ואח'</CaseName>
        <FullAddress>רוטשילד 133 תל אביב -יפו </FullAddress>
        <MotionID>0</MotionID>
        <CasePleaID>0</CasePleaID>
        <LinkedCaseID>0</LinkedCaseID>
        <PartyID>2</PartyID>
        <CasePartyCategoryID>2</CasePartyCategoryID>
        <LegalEntityAddressID>87933254</LegalEntityAddressID>
        <PleaTypeID>4</PleaTypeID>
        <GroupPartyAlias/>
        <IsConverted>false</IsConverted>
        <LegalEntityNameID>94886845</LegalEntityNameID>
        <RepresentatedNamesOfAssistant/>
        <LegalEntityTypeID>1</LegalEntityTypeID>
        <IsVerdictExists>false</IsVerdictExists>
        <IsAsirAzir>false</IsAsirAzir>
        <IsPublicationProhibited>false</IsPublicationProhibited>
        <PublicationProhibitedFullName>יחזקאל דניאלי</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עומר ינאי</FullName>
        <FirstName>עומר</FirstName>
        <LastName>ינאי</LastName>
        <PartyPropertyName/>
        <AuthenticationTypeAndNumber>ת"ז </AuthenticationTypeAndNumber>
        <RepresentatedOrRepresentativesNames/>
        <RepresentatedOrRepresentativesCount>0</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255894980</CasePartyID>
        <PartyTypeID>4</PartyTypeID>
        <ActivityStatusID>1</ActivityStatusID>
        <PartyAliasID>62</PartyAliasID>
        <PartyAliasName>עד הגנה</PartyAliasName>
        <LegalEntityID>81225094</LegalEntityID>
        <CaseLegalEntityID>124415589</CaseLegalEntityID>
        <AuthenticationTypeID>1</AuthenticationTypeID>
        <AuthenticationTypeName>ת"ז</AuthenticationTypeName>
        <IsMainPartyType>true</IsMainPartyType>
        <CaseDisplayIdentifier>65669-08-21</CaseDisplayIdentifier>
        <CaseTypeID>1</CaseTypeID>
        <CaseTypeName>תיק אזרחי בסדר דין רגיל (ת"א)</CaseTypeName>
        <CaseName>פלג נ' בן חיים ואח'</CaseName>
        <FullAddress>התמרים 16 רמת גן </FullAddress>
        <MotionID>0</MotionID>
        <CasePleaID>0</CasePleaID>
        <LinkedCaseID>0</LinkedCaseID>
        <PartyID>2</PartyID>
        <CasePartyCategoryID>2</CasePartyCategoryID>
        <LegalEntityAddressID>87933266</LegalEntityAddressID>
        <PleaTypeID>4</PleaTypeID>
        <GroupPartyAlias/>
        <IsConverted>false</IsConverted>
        <LegalEntityNameID>94886858</LegalEntityNameID>
        <RepresentatedNamesOfAssistant/>
        <LegalEntityTypeID>1</LegalEntityTypeID>
        <IsVerdictExists>false</IsVerdictExists>
        <IsAsirAzir>false</IsAsirAzir>
        <IsPublicationProhibited>false</IsPublicationProhibited>
        <PublicationProhibitedFullName>עומר ינאי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תמר בתיה פלג</FullName>
        <FirstName>תמר בתיה</FirstName>
        <LastName>פלג</LastName>
        <PartyPropertyName/>
        <AuthenticationTypeAndNumber>ת"ז 052255643</AuthenticationTypeAndNumber>
        <RepresentatedOrRepresentativesNames>עומר קאופמן</RepresentatedOrRepresentativesNames>
        <RepresentatedOrRepresentativesCount>1</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230635250</CasePartyID>
        <PartyTypeID>1</PartyTypeID>
        <ActivityStatusID>1</ActivityStatusID>
        <PartyAliasID>1</PartyAliasID>
        <PartyAliasName>תובע</PartyAliasName>
        <OrdinalNumber>1</OrdinalNumber>
        <LegalEntityID>2121089</LegalEntityID>
        <CaseLegalEntityID>116609321</CaseLegalEntityID>
        <AuthenticationTypeID>1</AuthenticationTypeID>
        <AuthenticationTypeName>ת"ז</AuthenticationTypeName>
        <LegalEntityNumber>052255643</LegalEntityNumber>
        <IsMainPartyType>true</IsMainPartyType>
        <CaseDisplayIdentifier>65669-08-21</CaseDisplayIdentifier>
        <CaseTypeID>1</CaseTypeID>
        <CaseTypeName>תיק אזרחי בסדר דין רגיל (ת"א)</CaseTypeName>
        <CaseName>פלג נ' בן חיים ואח'</CaseName>
        <FullAddress/>
        <MotionID>0</MotionID>
        <CasePleaID>0</CasePleaID>
        <FatherName>מוטל</FatherName>
        <LinkedCaseID>0</LinkedCaseID>
        <PartyID>1</PartyID>
        <CasePartyCategoryID>2</CasePartyCategoryID>
        <PleaTypeID>4</PleaTypeID>
        <GroupPartyAlias>תובעים</GroupPartyAlias>
        <IsConverted>false</IsConverted>
        <LegalEntityRegisteredNameID>337363</LegalEntityRegisteredNameID>
        <LegalEntityNameID>93247602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 בתיה פלג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עומר קאופמן</FullName>
        <FirstName>עומר</FirstName>
        <LastName>קאופמן</LastName>
        <PartyPropertyName/>
        <AuthenticationTypeAndNumber>מ.ר. 79083</AuthenticationTypeAndNumber>
        <RepresentatedOrRepresentativesNames>תמר בתיה פלג</RepresentatedOrRepresentativesNames>
        <RepresentatedOrRepresentativesCount>1</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230635251</CasePartyID>
        <PartyTypeID>2</PartyTypeID>
        <ActivityStatusID>1</ActivityStatusID>
        <PartyAliasID>20</PartyAliasID>
        <PartyAliasName>בא כוח תובעים</PartyAliasName>
        <OrdinalNumber>1</OrdinalNumber>
        <LegalEntityID>76746380</LegalEntityID>
        <CaseLegalEntityID>116609322</CaseLegalEntityID>
        <AuthenticationTypeID>4</AuthenticationTypeID>
        <AuthenticationTypeName>מ.ר.</AuthenticationTypeName>
        <LegalEntityNumber>79083</LegalEntityNumber>
        <IsMainPartyType>true</IsMainPartyType>
        <CaseDisplayIdentifier>65669-08-21</CaseDisplayIdentifier>
        <CaseTypeID>1</CaseTypeID>
        <CaseTypeName>תיק אזרחי בסדר דין רגיל (ת"א)</CaseTypeName>
        <CaseName>פלג נ' בן חיים ואח'</CaseName>
        <FullAddress/>
        <MotionID>0</MotionID>
        <CasePleaID>0</CasePleaID>
        <LinkedCaseID>0</LinkedCaseID>
        <PartyID>1</PartyID>
        <CasePartyCategoryID>2</CasePartyCategoryID>
        <PleaTypeID>4</PleaTypeID>
        <LawyerOfficeName>משרד עו"ד: רוטנשטרייך גיצלטר</LawyerOfficeName>
        <LawyerOfficeID>421850</LawyerOfficeID>
        <GroupPartyAlias/>
        <IsConverted>false</IsConverted>
        <LegalEntityNameID>84707533</LegalEntityNameID>
        <RepresentatedNamesOfAssistant/>
        <LegalEntityTypeID>4</LegalEntityTypeID>
        <IsVerdictExists>false</IsVerdictExists>
        <IsAsirAzir>false</IsAsirAzir>
        <IsPublicationProhibited>false</IsPublicationProhibited>
        <PublicationProhibitedFullName>עומר קאופמן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מרדכי גרון</FullName>
        <FirstName>מרדכי</FirstName>
        <LastName>גרון</LastName>
        <PartyPropertyName/>
        <AuthenticationTypeAndNumber>מ.ר. 6935</AuthenticationTypeAndNumber>
        <RepresentatedOrRepresentativesNames>פז אילן, רז אילן, שרה בן חיים, בני בן ציון מלומד, בן קמינסקי</RepresentatedOrRepresentativesNames>
        <RepresentatedOrRepresentativesCount>5</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230734031</CasePartyID>
        <PartyTypeID>2</PartyTypeID>
        <ActivityStatusID>1</ActivityStatusID>
        <PartyAliasID>21</PartyAliasID>
        <PartyAliasName>בא כוח נתבעים</PartyAliasName>
        <OrdinalNumber>1</OrdinalNumber>
        <LegalEntityID>380269</LegalEntityID>
        <CaseLegalEntityID>116641459</CaseLegalEntityID>
        <AuthenticationTypeID>4</AuthenticationTypeID>
        <AuthenticationTypeName>מ.ר.</AuthenticationTypeName>
        <LegalEntityNumber>6935</LegalEntityNumber>
        <IsMainPartyType>true</IsMainPartyType>
        <CaseDisplayIdentifier>65669-08-21</CaseDisplayIdentifier>
        <CaseTypeID>1</CaseTypeID>
        <CaseTypeName>תיק אזרחי בסדר דין רגיל (ת"א)</CaseTypeName>
        <CaseName>פלג נ' בן חיים ואח'</CaseName>
        <FullAddress>כנרת 5 בני ברק </FullAddress>
        <EmailAddress>m4geron@012.net.il</EmailAddress>
        <MotionID>0</MotionID>
        <CasePleaID>0</CasePleaID>
        <FatherName xml:space="preserve">        </FatherName>
        <LinkedCaseID>0</LinkedCaseID>
        <PartyID>2</PartyID>
        <CasePartyCategoryID>2</CasePartyCategoryID>
        <LegalEntityAddressID>75433647</LegalEntityAddressID>
        <LegalEntityEmailAddressID>68326509</LegalEntityEmailAddressID>
        <PleaTypeID>4</PleaTypeID>
        <LawyerOfficeName>משרד עו"ד: מרדכי גרון</LawyerOfficeName>
        <LawyerOfficeID>420913</LawyerOfficeID>
        <GroupPartyAlias/>
        <IsConverted>false</IsConverted>
        <LegalEntityNameID>1253</LegalEntityNameID>
        <RepresentatedNamesOfAssistant/>
        <LegalEntityTypeID>4</LegalEntityTypeID>
        <IsVerdictExists>false</IsVerdictExists>
        <IsAsirAzir>false</IsAsirAzir>
        <IsPublicationProhibited>false</IsPublicationProhibited>
        <PublicationProhibitedFullName>מרדכי גרון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שרה בן חיים</FullName>
        <FirstName>שרה</FirstName>
        <LastName>בן חיים</LastName>
        <PartyPropertyName/>
        <AuthenticationTypeAndNumber>ת"ז 051831550</AuthenticationTypeAndNumber>
        <RepresentatedOrRepresentativesNames>מרדכי גרון</RepresentatedOrRepresentativesNames>
        <RepresentatedOrRepresentativesCount>1</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230635252</CasePartyID>
        <PartyTypeID>1</PartyTypeID>
        <ActivityStatusID>1</ActivityStatusID>
        <PartyAliasID>2</PartyAliasID>
        <PartyAliasName>נתבע</PartyAliasName>
        <OrdinalNumber>1</OrdinalNumber>
        <LegalEntityID>16637610</LegalEntityID>
        <CaseLegalEntityID>116609323</CaseLegalEntityID>
        <AuthenticationTypeID>1</AuthenticationTypeID>
        <AuthenticationTypeName>ת"ז</AuthenticationTypeName>
        <LegalEntityNumber>051831550</LegalEntityNumber>
        <IsMainPartyType>true</IsMainPartyType>
        <CaseDisplayIdentifier>65669-08-21</CaseDisplayIdentifier>
        <CaseTypeID>1</CaseTypeID>
        <CaseTypeName>תיק אזרחי בסדר דין רגיל (ת"א)</CaseTypeName>
        <CaseName>פלג נ' בן חיים ואח'</CaseName>
        <FullAddress/>
        <MotionID>0</MotionID>
        <CasePleaID>0</CasePleaID>
        <FatherName>דוד</FatherName>
        <LinkedCaseID>0</LinkedCaseID>
        <PartyID>2</PartyID>
        <CasePartyCategoryID>2</CasePartyCategoryID>
        <PleaTypeID>4</PleaTypeID>
        <GroupPartyAlias>נתבעים</GroupPartyAlias>
        <IsConverted>false</IsConverted>
        <LegalEntityRegisteredNameID>9445746</LegalEntityRegisteredNameID>
        <LegalEntityNameID>91888014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שרה בן חיים</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בן קמינסקי</FullName>
        <FirstName>בן</FirstName>
        <LastName>קמינסקי</LastName>
        <PartyPropertyName/>
        <AuthenticationTypeAndNumber>ת"ז 039300058</AuthenticationTypeAndNumber>
        <RepresentatedOrRepresentativesNames>מרדכי גרון</RepresentatedOrRepresentativesNames>
        <RepresentatedOrRepresentativesCount>1</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230635253</CasePartyID>
        <PartyTypeID>1</PartyTypeID>
        <ActivityStatusID>1</ActivityStatusID>
        <PartyAliasID>2</PartyAliasID>
        <PartyAliasName>נתבע</PartyAliasName>
        <OrdinalNumber>2</OrdinalNumber>
        <LegalEntityID>16622694</LegalEntityID>
        <CaseLegalEntityID>116609324</CaseLegalEntityID>
        <AuthenticationTypeID>1</AuthenticationTypeID>
        <AuthenticationTypeName>ת"ז</AuthenticationTypeName>
        <LegalEntityNumber>039300058</LegalEntityNumber>
        <IsMainPartyType>true</IsMainPartyType>
        <CaseDisplayIdentifier>65669-08-21</CaseDisplayIdentifier>
        <CaseTypeID>1</CaseTypeID>
        <CaseTypeName>תיק אזרחי בסדר דין רגיל (ת"א)</CaseTypeName>
        <CaseName>פלג נ' בן חיים ואח'</CaseName>
        <FullAddress/>
        <MotionID>0</MotionID>
        <CasePleaID>0</CasePleaID>
        <FatherName>אהרון אהרלה</FatherName>
        <LinkedCaseID>0</LinkedCaseID>
        <PartyID>2</PartyID>
        <CasePartyCategoryID>2</CasePartyCategoryID>
        <PleaTypeID>4</PleaTypeID>
        <GroupPartyAlias>נתבעים</GroupPartyAlias>
        <IsConverted>false</IsConverted>
        <LegalEntityRegisteredNameID>8773754</LegalEntityRegisteredNameID>
        <LegalEntityNameID>93247605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בן קמינסקי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פז אילן</FullName>
        <FirstName>פז</FirstName>
        <LastName>אילן</LastName>
        <PartyPropertyName/>
        <AuthenticationTypeAndNumber>ת"ז 200326767</AuthenticationTypeAndNumber>
        <RepresentatedOrRepresentativesNames>מרדכי גרון</RepresentatedOrRepresentativesNames>
        <RepresentatedOrRepresentativesCount>1</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230635254</CasePartyID>
        <PartyTypeID>1</PartyTypeID>
        <ActivityStatusID>1</ActivityStatusID>
        <PartyAliasID>2</PartyAliasID>
        <PartyAliasName>נתבע</PartyAliasName>
        <OrdinalNumber>3</OrdinalNumber>
        <LegalEntityID>79562733</LegalEntityID>
        <CaseLegalEntityID>116609325</CaseLegalEntityID>
        <AuthenticationTypeID>1</AuthenticationTypeID>
        <AuthenticationTypeName>ת"ז</AuthenticationTypeName>
        <LegalEntityNumber>200326767</LegalEntityNumber>
        <IsMainPartyType>true</IsMainPartyType>
        <CaseDisplayIdentifier>65669-08-21</CaseDisplayIdentifier>
        <CaseTypeID>1</CaseTypeID>
        <CaseTypeName>תיק אזרחי בסדר דין רגיל (ת"א)</CaseTypeName>
        <CaseName>פלג נ' בן חיים ואח'</CaseName>
        <FullAddress/>
        <MotionID>0</MotionID>
        <CasePleaID>0</CasePleaID>
        <FatherName>דניאל</FatherName>
        <LinkedCaseID>0</LinkedCaseID>
        <PartyID>2</PartyID>
        <CasePartyCategoryID>2</CasePartyCategoryID>
        <PleaTypeID>4</PleaTypeID>
        <GroupPartyAlias>נתבעים</GroupPartyAlias>
        <IsConverted>false</IsConverted>
        <LegalEntityRegisteredNameID>9419387</LegalEntityRegisteredNameID>
        <LegalEntityNameID>93247621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פז אילן</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רז אילן</FullName>
        <FirstName>רז</FirstName>
        <LastName>אילן</LastName>
        <PartyPropertyName/>
        <AuthenticationTypeAndNumber>ת"ז 300004405</AuthenticationTypeAndNumber>
        <RepresentatedOrRepresentativesNames>מרדכי גרון</RepresentatedOrRepresentativesNames>
        <RepresentatedOrRepresentativesCount>1</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230635255</CasePartyID>
        <PartyTypeID>1</PartyTypeID>
        <ActivityStatusID>1</ActivityStatusID>
        <PartyAliasID>2</PartyAliasID>
        <PartyAliasName>נתבע</PartyAliasName>
        <OrdinalNumber>4</OrdinalNumber>
        <LegalEntityID>79562734</LegalEntityID>
        <CaseLegalEntityID>116609326</CaseLegalEntityID>
        <AuthenticationTypeID>1</AuthenticationTypeID>
        <AuthenticationTypeName>ת"ז</AuthenticationTypeName>
        <LegalEntityNumber>300004405</LegalEntityNumber>
        <IsMainPartyType>true</IsMainPartyType>
        <CaseDisplayIdentifier>65669-08-21</CaseDisplayIdentifier>
        <CaseTypeID>1</CaseTypeID>
        <CaseTypeName>תיק אזרחי בסדר דין רגיל (ת"א)</CaseTypeName>
        <CaseName>פלג נ' בן חיים ואח'</CaseName>
        <FullAddress/>
        <MotionID>0</MotionID>
        <CasePleaID>0</CasePleaID>
        <FatherName>דניאל</FatherName>
        <LinkedCaseID>0</LinkedCaseID>
        <PartyID>2</PartyID>
        <CasePartyCategoryID>2</CasePartyCategoryID>
        <PleaTypeID>4</PleaTypeID>
        <GroupPartyAlias>נתבעים</GroupPartyAlias>
        <IsConverted>false</IsConverted>
        <LegalEntityRegisteredNameID>9419388</LegalEntityRegisteredNameID>
        <LegalEntityNameID>93247622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רז אילן</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בני בן ציון מלומד</FullName>
        <FirstName>בני בן ציון</FirstName>
        <LastName>מלומד</LastName>
        <PartyPropertyName/>
        <AuthenticationTypeAndNumber>ת"ז 029640836</AuthenticationTypeAndNumber>
        <RepresentatedOrRepresentativesNames>מרדכי גרון</RepresentatedOrRepresentativesNames>
        <RepresentatedOrRepresentativesCount>1</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230652863</CasePartyID>
        <PartyTypeID>1</PartyTypeID>
        <ActivityStatusID>1</ActivityStatusID>
        <PartyAliasID>2</PartyAliasID>
        <PartyAliasName>נתבע</PartyAliasName>
        <OrdinalNumber>5</OrdinalNumber>
        <LegalEntityID>79562735</LegalEntityID>
        <CaseLegalEntityID>116609327</CaseLegalEntityID>
        <AuthenticationTypeID>1</AuthenticationTypeID>
        <AuthenticationTypeName>ת"ז</AuthenticationTypeName>
        <LegalEntityNumber>029640836</LegalEntityNumber>
        <IsMainPartyType>true</IsMainPartyType>
        <CaseDisplayIdentifier>65669-08-21</CaseDisplayIdentifier>
        <CaseTypeID>1</CaseTypeID>
        <CaseTypeName>תיק אזרחי בסדר דין רגיל (ת"א)</CaseTypeName>
        <CaseName>פלג נ' בן חיים ואח'</CaseName>
        <FullAddress>היצירה 3 רמת גן </FullAddress>
        <MotionID>0</MotionID>
        <CasePleaID>0</CasePleaID>
        <FatherName>יוסף אלחנן</FatherName>
        <LinkedCaseID>0</LinkedCaseID>
        <PartyID>2</PartyID>
        <CasePartyCategoryID>2</CasePartyCategoryID>
        <LegalEntityAddressID>85564136</LegalEntityAddressID>
        <PleaTypeID>4</PleaTypeID>
        <GroupPartyAlias>נתבעים</GroupPartyAlias>
        <IsConverted>false</IsConverted>
        <LegalEntityRegisteredNameID>9419389</LegalEntityRegisteredNameID>
        <LegalEntityNameID>93247632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בני בן ציון מלומד</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עמרי ינאי</FullName>
        <FirstName>עמרי</FirstName>
        <LastName>ינאי</LastName>
        <PartyPropertyName/>
        <AuthenticationTypeAndNumber>ת"ז 206398224</AuthenticationTypeAndNumber>
        <RepresentatedOrRepresentativesNames/>
        <RepresentatedOrRepresentativesCount>0</RepresentatedOrRepresentativesCount>
        <InvitedBy/>
        <CaseID>78611708</CaseID>
        <CaseJudicialPersonPresentationDS>
          <CaseJudicalPersonActive>
            <CaseID>78611708</CaseID>
            <JudicialPersonID>022147607@GOV.IL</JudicialPersonID>
            <JudicialPersonTypeID>1</JudicialPersonTypeID>
            <JudicialTypeID>1</JudicialTypeID>
            <IsChairman>false</IsChairman>
            <TreatmentStartDate>2021-11-04T14:39:20.163+02:00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230635257</CasePartyID>
        <PartyTypeID>1</PartyTypeID>
        <ActivityStatusID>1</ActivityStatusID>
        <PartyAliasID>2</PartyAliasID>
        <PartyAliasName>נתבע</PartyAliasName>
        <OrdinalNumber>6</OrdinalNumber>
        <LegalEntityID>79562736</LegalEntityID>
        <CaseLegalEntityID>116609328</CaseLegalEntityID>
        <AuthenticationTypeID>1</AuthenticationTypeID>
        <AuthenticationTypeName>ת"ז</AuthenticationTypeName>
        <LegalEntityNumber>206398224</LegalEntityNumber>
        <IsMainPartyType>true</IsMainPartyType>
        <CaseDisplayIdentifier>65669-08-21</CaseDisplayIdentifier>
        <CaseTypeID>1</CaseTypeID>
        <CaseTypeName>תיק אזרחי בסדר דין רגיל (ת"א)</CaseTypeName>
        <CaseName>פלג נ' בן חיים ואח'</CaseName>
        <FullAddress>0</FullAddress>
        <MotionID>0</MotionID>
        <CasePleaID>0</CasePleaID>
        <FatherName>דורון</FatherName>
        <LinkedCaseID>0</LinkedCaseID>
        <PartyID>2</PartyID>
        <CasePartyCategoryID>2</CasePartyCategoryID>
        <LegalEntityAddressID>87953104</LegalEntityAddressID>
        <PleaTypeID>4</PleaTypeID>
        <GroupPartyAlias>נתבעים</GroupPartyAlias>
        <IsConverted>false</IsConverted>
        <LegalEntityRegisteredNameID>9419390</LegalEntityRegisteredNameID>
        <LegalEntityNameID>93247633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עמרי ינאי</PublicationProhibitedFullName>
      </CaseParties>
    </CasePartiesSelectionDS>
    <CaseName>פלג נ' בן חיים ואח'</CaseName>
    <CaseDisplayIdentifier>65669-08-21</CaseDisplayIdentifier>
    <CaseInterestID>41</CaseInterestID>
    <CaseTypeShortName>ת"א</CaseTypeShortName>
  </dt_DecisionCase>
  <dt_DecisionJudgePanel>
    <JudgeID>022147607@GOV.IL</JudgeID>
    <DisplayName>אביים ברקאי</DisplayName>
    <RoleName>שופט</RoleName>
    <UserTitleName>שופט</UserTitleName>
  </dt_DecisionJudgePanel>
  <dt_LegalEntityDetails>
    <Fax>03-9047789</Fax>
    <Phone>03-9047765</Phone>
    <AddressDesc/>
    <PartyID>1</PartyID>
    <PartyTypeID>3</PartyTypeID>
    <DecisionID>0</DecisionID>
    <AssistantRoleID>103</AssistantRoleID>
    <StreetName/>
    <CityName>פתח תקווה</CityName>
    <FullName>גלית יוסף עוז </FullName>
    <Email>galityos@zahav.net.il</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FullName>תמר בתיה פלג</FullName>
    <IsPublicationProhibited>false</IsPublicationProhibited>
  </dt_LegalEntityDetails>
  <dt_LegalEntityDetails>
    <PartyID>1</PartyID>
    <PartyTypeID>2</PartyTypeID>
    <DecisionID>0</DecisionID>
    <FullName>עומר קאופמן</FullName>
    <IsPublicationProhibited>false</IsPublicationProhibited>
  </dt_LegalEntityDetails>
  <dt_LegalEntityDetails>
    <PartyID>2</PartyID>
    <PartyTypeID>1</PartyTypeID>
    <DecisionID>0</DecisionID>
    <FullName>שרה בן חיים</FullName>
    <IsPublicationProhibited>false</IsPublicationProhibited>
  </dt_LegalEntityDetails>
  <dt_LegalEntityDetails>
    <Fax>03-6952207</Fax>
    <Phone>03-6952202</Phone>
    <PartyID>2</PartyID>
    <PartyTypeID>2</PartyTypeID>
    <DecisionID>0</DecisionID>
    <StreetName>כנרת 5</StreetName>
    <ZipCode>5126237</ZipCode>
    <CityName>בני ברק</CityName>
    <FullName>מרדכי גרון</FullName>
    <Email>m4geron@012.net.il</Email>
    <IsPublicationProhibited>false</IsPublicationProhibited>
  </dt_LegalEntityDetails>
  <dt_LegalEntityDetails>
    <PartyID>2</PartyID>
    <PartyTypeID>1</PartyTypeID>
    <DecisionID>0</DecisionID>
    <FullName>בן קמינסקי</FullName>
    <IsPublicationProhibited>false</IsPublicationProhibited>
  </dt_LegalEntityDetails>
  <dt_LegalEntityDetails>
    <PartyID>2</PartyID>
    <PartyTypeID>1</PartyTypeID>
    <DecisionID>0</DecisionID>
    <FullName>פז אילן</FullName>
    <IsPublicationProhibited>false</IsPublicationProhibited>
  </dt_LegalEntityDetails>
  <dt_LegalEntityDetails>
    <PartyID>2</PartyID>
    <PartyTypeID>1</PartyTypeID>
    <DecisionID>0</DecisionID>
    <FullName>רז אילן</FullName>
    <IsPublicationProhibited>false</IsPublicationProhibited>
  </dt_LegalEntityDetails>
  <dt_LegalEntityDetails>
    <PartyID>2</PartyID>
    <PartyTypeID>1</PartyTypeID>
    <DecisionID>0</DecisionID>
    <StreetName>היצירה 3 </StreetName>
    <CityName>רמת גן</CityName>
    <FullName>בני בן ציון מלומד</FullName>
    <IsPublicationProhibited>false</IsPublicationProhibited>
  </dt_LegalEntityDetails>
  <dt_LegalEntityDetails>
    <AddressDesc>0</AddressDesc>
    <PartyID>2</PartyID>
    <PartyTypeID>1</PartyTypeID>
    <DecisionID>0</DecisionID>
    <FullName>עמרי ינאי</FullName>
    <IsPublicationProhibited>false</IsPublicationProhibited>
  </dt_LegalEntityDetails>
  <dt_CaseJudicalPersonActive>
    <CaseJudicalPerson>שופט אביים ברקאי</CaseJudicalPerson>
  </dt_CaseJudicalPersonActive>
  <dt_Sitting>
    <PreviousMeetingDate>2023-07-02T11:30:00+03:00</PreviousMeetingDate>
    <PreviousSittingTypeID>2</PreviousSittingTypeID>
    <PreviousMeetingDisplayName>שופט אביים ברקאי</PreviousMeetingDisplayName>
    <PreviousMeetingRoleName>שופט</PreviousMeetingRoleName>
    <PreviousMeetingUserTitleName>שופט</PreviousMeetingUserTitleName>
    <PreviousMeetingUserUPN>022147607@GOV.IL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BDDBE-04E2-4C3C-8896-246EC02934C2}">
  <ds:schemaRefs/>
</ds:datastoreItem>
</file>

<file path=customXml/itemProps2.xml><?xml version="1.0" encoding="utf-8"?>
<ds:datastoreItem xmlns:ds="http://schemas.openxmlformats.org/officeDocument/2006/customXml" ds:itemID="{413AAC31-94AF-42D9-933A-849943DA9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3254</Words>
  <Characters>16271</Characters>
  <Application>Microsoft Office Word</Application>
  <DocSecurity>4</DocSecurity>
  <Lines>135</Lines>
  <Paragraphs>38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2024-06-13T09:21:00Z</dcterms:created>
  <dcterms:modified xsi:type="dcterms:W3CDTF">2024-06-13T09:21:00Z</dcterms:modified>
</cp:coreProperties>
</file>